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F5B" w:rsidRDefault="00006F5B"/>
    <w:p w:rsidR="00B87BD0" w:rsidRDefault="00B87BD0" w:rsidP="00B87BD0">
      <w:pPr>
        <w:pStyle w:val="TitleArticle"/>
      </w:pPr>
      <w:r w:rsidRPr="006B4C8E">
        <w:t>PATTERN SCHOOL REFUSAL BEHAVIOR ON SANTRI IN ISLAMIC BOARDING SCHOOL</w:t>
      </w:r>
      <w:r>
        <w:rPr>
          <w:lang w:val="en-US"/>
        </w:rPr>
        <w:t xml:space="preserve"> </w:t>
      </w:r>
    </w:p>
    <w:p w:rsidR="00B87BD0" w:rsidRDefault="00B87BD0" w:rsidP="00B87BD0">
      <w:pPr>
        <w:spacing w:after="0" w:line="240" w:lineRule="auto"/>
        <w:jc w:val="center"/>
        <w:rPr>
          <w:rFonts w:ascii="Arial" w:eastAsia="Batang" w:hAnsi="Arial" w:cs="Arial"/>
          <w:b/>
          <w:szCs w:val="28"/>
        </w:rPr>
      </w:pPr>
    </w:p>
    <w:p w:rsidR="00B87BD0" w:rsidRDefault="00B87BD0" w:rsidP="00B87BD0">
      <w:pPr>
        <w:pStyle w:val="Author"/>
      </w:pPr>
      <w:proofErr w:type="spellStart"/>
      <w:r w:rsidRPr="006B4C8E">
        <w:t>Mochamad</w:t>
      </w:r>
      <w:proofErr w:type="spellEnd"/>
      <w:r w:rsidRPr="006B4C8E">
        <w:t xml:space="preserve"> </w:t>
      </w:r>
      <w:proofErr w:type="spellStart"/>
      <w:r w:rsidRPr="006B4C8E">
        <w:t>Nursalim</w:t>
      </w:r>
      <w:proofErr w:type="spellEnd"/>
      <w:r w:rsidRPr="006B4C8E">
        <w:t xml:space="preserve"> </w:t>
      </w:r>
      <w:r w:rsidRPr="005E6AEA">
        <w:rPr>
          <w:vertAlign w:val="superscript"/>
        </w:rPr>
        <w:t>1</w:t>
      </w:r>
      <w:r w:rsidRPr="005E6AEA">
        <w:t>,</w:t>
      </w:r>
      <w:r>
        <w:t xml:space="preserve"> </w:t>
      </w:r>
      <w:proofErr w:type="spellStart"/>
      <w:r w:rsidRPr="006B4C8E">
        <w:t>Sherrin</w:t>
      </w:r>
      <w:proofErr w:type="spellEnd"/>
      <w:r w:rsidRPr="006B4C8E">
        <w:t xml:space="preserve"> </w:t>
      </w:r>
      <w:proofErr w:type="spellStart"/>
      <w:r w:rsidRPr="006B4C8E">
        <w:t>Nurlita</w:t>
      </w:r>
      <w:proofErr w:type="spellEnd"/>
      <w:r w:rsidRPr="006B4C8E">
        <w:t xml:space="preserve"> </w:t>
      </w:r>
      <w:proofErr w:type="spellStart"/>
      <w:r w:rsidRPr="006B4C8E">
        <w:t>Widya</w:t>
      </w:r>
      <w:proofErr w:type="spellEnd"/>
      <w:r>
        <w:rPr>
          <w:vertAlign w:val="superscript"/>
        </w:rPr>
        <w:t xml:space="preserve"> 2</w:t>
      </w:r>
    </w:p>
    <w:p w:rsidR="00B87BD0" w:rsidRDefault="00B87BD0" w:rsidP="00B87BD0">
      <w:pPr>
        <w:pStyle w:val="AuthorAffiliation"/>
      </w:pPr>
      <w:r w:rsidRPr="005E6AEA">
        <w:rPr>
          <w:vertAlign w:val="superscript"/>
        </w:rPr>
        <w:t>1</w:t>
      </w:r>
      <w:r w:rsidRPr="006B4C8E">
        <w:t xml:space="preserve"> </w:t>
      </w:r>
      <w:proofErr w:type="spellStart"/>
      <w:r w:rsidRPr="006B4C8E">
        <w:t>Universit</w:t>
      </w:r>
      <w:r>
        <w:t>as</w:t>
      </w:r>
      <w:proofErr w:type="spellEnd"/>
      <w:r w:rsidRPr="006B4C8E">
        <w:t xml:space="preserve"> </w:t>
      </w:r>
      <w:proofErr w:type="spellStart"/>
      <w:r>
        <w:t>Negeri</w:t>
      </w:r>
      <w:proofErr w:type="spellEnd"/>
      <w:r w:rsidRPr="006B4C8E">
        <w:t xml:space="preserve"> Surabaya-</w:t>
      </w:r>
      <w:r>
        <w:t xml:space="preserve"> [1</w:t>
      </w:r>
      <w:r w:rsidRPr="00902277">
        <w:rPr>
          <w:vertAlign w:val="superscript"/>
        </w:rPr>
        <w:t>st</w:t>
      </w:r>
      <w:r>
        <w:t xml:space="preserve"> Author], </w:t>
      </w:r>
      <w:proofErr w:type="spellStart"/>
      <w:r>
        <w:t>Kampus</w:t>
      </w:r>
      <w:proofErr w:type="spellEnd"/>
      <w:r>
        <w:t xml:space="preserve"> </w:t>
      </w:r>
      <w:proofErr w:type="spellStart"/>
      <w:r>
        <w:t>Unesa</w:t>
      </w:r>
      <w:proofErr w:type="spellEnd"/>
      <w:r>
        <w:t xml:space="preserve"> </w:t>
      </w:r>
      <w:proofErr w:type="spellStart"/>
      <w:r>
        <w:t>Lidah</w:t>
      </w:r>
      <w:proofErr w:type="spellEnd"/>
      <w:r>
        <w:t xml:space="preserve"> </w:t>
      </w:r>
      <w:proofErr w:type="spellStart"/>
      <w:r>
        <w:t>Wetan</w:t>
      </w:r>
      <w:proofErr w:type="spellEnd"/>
      <w:r>
        <w:t xml:space="preserve"> Surabaya, Indonesia, </w:t>
      </w:r>
      <w:proofErr w:type="gramStart"/>
      <w:r>
        <w:t>Email</w:t>
      </w:r>
      <w:proofErr w:type="gramEnd"/>
      <w:r>
        <w:t xml:space="preserve">: </w:t>
      </w:r>
      <w:r w:rsidRPr="007E5B4A">
        <w:t>mochamadnursalim@unesa.ac.id</w:t>
      </w:r>
    </w:p>
    <w:p w:rsidR="00B87BD0" w:rsidRDefault="00B87BD0" w:rsidP="00B87BD0">
      <w:pPr>
        <w:pStyle w:val="AuthorAffiliation"/>
      </w:pPr>
      <w:r>
        <w:rPr>
          <w:vertAlign w:val="superscript"/>
        </w:rPr>
        <w:t xml:space="preserve">2 </w:t>
      </w:r>
      <w:proofErr w:type="spellStart"/>
      <w:r w:rsidRPr="006B4C8E">
        <w:t>Universit</w:t>
      </w:r>
      <w:r>
        <w:t>as</w:t>
      </w:r>
      <w:proofErr w:type="spellEnd"/>
      <w:r w:rsidRPr="006B4C8E">
        <w:t xml:space="preserve"> </w:t>
      </w:r>
      <w:proofErr w:type="spellStart"/>
      <w:r>
        <w:t>Negeri</w:t>
      </w:r>
      <w:proofErr w:type="spellEnd"/>
      <w:r w:rsidRPr="006B4C8E">
        <w:t xml:space="preserve"> Surabaya-</w:t>
      </w:r>
      <w:r>
        <w:t xml:space="preserve"> [2</w:t>
      </w:r>
      <w:r w:rsidRPr="00902277">
        <w:rPr>
          <w:vertAlign w:val="superscript"/>
        </w:rPr>
        <w:t>st</w:t>
      </w:r>
      <w:r>
        <w:t xml:space="preserve"> Author], </w:t>
      </w:r>
      <w:proofErr w:type="spellStart"/>
      <w:r>
        <w:t>Kampus</w:t>
      </w:r>
      <w:proofErr w:type="spellEnd"/>
      <w:r>
        <w:t xml:space="preserve"> </w:t>
      </w:r>
      <w:proofErr w:type="spellStart"/>
      <w:r>
        <w:t>Unesa</w:t>
      </w:r>
      <w:proofErr w:type="spellEnd"/>
      <w:r>
        <w:t xml:space="preserve"> </w:t>
      </w:r>
      <w:proofErr w:type="spellStart"/>
      <w:r>
        <w:t>Lidah</w:t>
      </w:r>
      <w:proofErr w:type="spellEnd"/>
      <w:r>
        <w:t xml:space="preserve"> </w:t>
      </w:r>
      <w:proofErr w:type="spellStart"/>
      <w:r>
        <w:t>Wetan</w:t>
      </w:r>
      <w:proofErr w:type="spellEnd"/>
      <w:r>
        <w:t xml:space="preserve"> Surabaya, Indonesia, </w:t>
      </w:r>
      <w:proofErr w:type="gramStart"/>
      <w:r>
        <w:t>Email</w:t>
      </w:r>
      <w:proofErr w:type="gramEnd"/>
      <w:r>
        <w:t xml:space="preserve">: </w:t>
      </w:r>
      <w:r w:rsidRPr="007E5B4A">
        <w:t>Sherrin.nurlita@gmail.com</w:t>
      </w:r>
    </w:p>
    <w:p w:rsidR="00B87BD0" w:rsidRDefault="00B87BD0" w:rsidP="00B87BD0">
      <w:pPr>
        <w:spacing w:before="120" w:after="0" w:line="240" w:lineRule="auto"/>
        <w:jc w:val="center"/>
        <w:rPr>
          <w:rFonts w:ascii="Arial" w:eastAsia="Batang" w:hAnsi="Arial" w:cs="Arial"/>
          <w:sz w:val="20"/>
          <w:szCs w:val="28"/>
          <w:lang w:val="en-US"/>
        </w:rPr>
      </w:pPr>
    </w:p>
    <w:p w:rsidR="00B87BD0" w:rsidRPr="005E6AEA" w:rsidRDefault="00B87BD0" w:rsidP="00B87BD0">
      <w:pPr>
        <w:spacing w:before="120" w:after="0" w:line="240" w:lineRule="auto"/>
        <w:jc w:val="center"/>
        <w:rPr>
          <w:rFonts w:ascii="Arial" w:eastAsia="Batang" w:hAnsi="Arial" w:cs="Arial"/>
          <w:sz w:val="20"/>
          <w:szCs w:val="28"/>
          <w:lang w:val="en-US"/>
        </w:rPr>
      </w:pPr>
    </w:p>
    <w:p w:rsidR="00B87BD0" w:rsidRPr="00DB3F8B" w:rsidRDefault="00B87BD0" w:rsidP="00B87BD0">
      <w:pPr>
        <w:pStyle w:val="AbstractHead"/>
      </w:pPr>
      <w:r w:rsidRPr="00004B88">
        <w:t>ABSTRACT</w:t>
      </w:r>
    </w:p>
    <w:p w:rsidR="00B87BD0" w:rsidRPr="00DB3F8B" w:rsidRDefault="00B87BD0" w:rsidP="00B87BD0">
      <w:pPr>
        <w:pStyle w:val="BodyAbstract"/>
        <w:rPr>
          <w:b/>
        </w:rPr>
      </w:pPr>
      <w:r w:rsidRPr="006B4C8E">
        <w:t xml:space="preserve">School refusal behavior occurs in almost all schools in Indonesia, even in </w:t>
      </w:r>
      <w:r w:rsidR="00E5462E">
        <w:rPr>
          <w:lang w:val="en-US"/>
        </w:rPr>
        <w:t xml:space="preserve">Islamic </w:t>
      </w:r>
      <w:r w:rsidRPr="006B4C8E">
        <w:t xml:space="preserve">boarding schools. Based on a review of the scientific literature, the purpose of this study is: first, to examine the pattern of school refusal on students at Islamic boarding schools. Second, identify the trigger for school refusal, and third, test the Effectiveness of Ego State Counseling (ESC) to reduce School Refusal Behavior in students in Islamic boarding schools. This research design is a single-case experimental design (SCED) with models A - B - A. SCEDs provide a time- and cost-effective alternative to randomized clinical trials. The steps of this Ego State counseling include relationship building and problem assessment, goal formulation and strategy selection,  relaxation exercises, mapping ego state, processing and dealing with injured egos, in vivo practice, evaluation, follow-up, and termination. The data collection instrument is the </w:t>
      </w:r>
      <w:r w:rsidR="00A10707" w:rsidRPr="00A10707">
        <w:t>checklist for school refusal</w:t>
      </w:r>
      <w:r w:rsidR="00A10707">
        <w:rPr>
          <w:lang w:val="en-US"/>
        </w:rPr>
        <w:t xml:space="preserve"> (CSR)</w:t>
      </w:r>
      <w:r w:rsidRPr="006B4C8E">
        <w:t xml:space="preserve">. Techniques used to analyze the data are an analysis of visual data and </w:t>
      </w:r>
      <w:r w:rsidR="00E5462E" w:rsidRPr="00E5462E">
        <w:t>technique used to analyze the research data is visual data analysis and Wilcoxon Matched Pairs Signed Ranks Test analysis, as well as descriptive analysis.</w:t>
      </w:r>
      <w:r w:rsidRPr="006B4C8E">
        <w:t xml:space="preserve"> The results show that The triggering factors of the school refusal i.e.: a) the child has anxiety, such as (separation anxiety), b) the fear experienced by children related to academic activities, c) a parent is sick or conflict in the family, d) the intensity of stress while at school in caused because of teachers or friends at school e) traumatic experience triggered by bullying. The results show that the ESC has shown convincing efficacy; there has been a change in the known scores at baseline conditions, decreased treatment scores, and reduced withdrawal conditions. Likewise, the scoring trend recognizes a change in slope, which varies in the change in score from the baseline to the treatment stage and the stable trend at the withdrawal stage. Therefore, it can be concluded that the ESC is significantly effective for solving the school refusal behavior problems on santri in Islamic boarding schools.</w:t>
      </w:r>
      <w:r w:rsidRPr="00DB3F8B">
        <w:t xml:space="preserve"> </w:t>
      </w:r>
    </w:p>
    <w:p w:rsidR="00B87BD0" w:rsidRDefault="00B87BD0" w:rsidP="00B87BD0">
      <w:pPr>
        <w:spacing w:line="276" w:lineRule="auto"/>
        <w:ind w:left="426" w:right="401"/>
        <w:jc w:val="both"/>
      </w:pPr>
      <w:r w:rsidRPr="000D5CA8">
        <w:rPr>
          <w:rFonts w:ascii="Arial" w:hAnsi="Arial" w:cs="Arial"/>
          <w:sz w:val="20"/>
          <w:szCs w:val="20"/>
        </w:rPr>
        <w:t xml:space="preserve">Keywords: </w:t>
      </w:r>
      <w:r w:rsidRPr="007E5B4A">
        <w:rPr>
          <w:rFonts w:ascii="Arial" w:hAnsi="Arial" w:cs="Arial"/>
          <w:sz w:val="20"/>
          <w:szCs w:val="20"/>
        </w:rPr>
        <w:t xml:space="preserve">school </w:t>
      </w:r>
      <w:r>
        <w:rPr>
          <w:rFonts w:ascii="Arial" w:hAnsi="Arial" w:cs="Arial"/>
          <w:sz w:val="20"/>
          <w:szCs w:val="20"/>
          <w:lang w:val="en-US"/>
        </w:rPr>
        <w:t>refusal behavior</w:t>
      </w:r>
      <w:r w:rsidRPr="007E5B4A">
        <w:rPr>
          <w:rFonts w:ascii="Arial" w:hAnsi="Arial" w:cs="Arial"/>
          <w:sz w:val="20"/>
          <w:szCs w:val="20"/>
        </w:rPr>
        <w:t>, ESC, Effectiveness, santri, Islamic boarding school</w:t>
      </w:r>
    </w:p>
    <w:p w:rsidR="00983DE8" w:rsidRDefault="00983DE8">
      <w:r>
        <w:br/>
      </w:r>
    </w:p>
    <w:p w:rsidR="00983DE8" w:rsidRDefault="00983DE8">
      <w:r>
        <w:br w:type="page"/>
      </w:r>
    </w:p>
    <w:p w:rsidR="00983DE8" w:rsidRDefault="00983DE8">
      <w:pPr>
        <w:sectPr w:rsidR="00983DE8" w:rsidSect="00006F5B">
          <w:headerReference w:type="default" r:id="rId8"/>
          <w:footerReference w:type="default" r:id="rId9"/>
          <w:pgSz w:w="11907" w:h="16839" w:code="9"/>
          <w:pgMar w:top="1701" w:right="1701" w:bottom="1701" w:left="1701" w:header="708" w:footer="708" w:gutter="0"/>
          <w:cols w:space="708"/>
          <w:docGrid w:linePitch="360"/>
        </w:sectPr>
      </w:pPr>
    </w:p>
    <w:p w:rsidR="00983DE8" w:rsidRPr="009A1512" w:rsidRDefault="000D5CA8" w:rsidP="009002A3">
      <w:pPr>
        <w:pStyle w:val="HeadBody"/>
        <w:rPr>
          <w:lang w:val="en-US"/>
        </w:rPr>
      </w:pPr>
      <w:r w:rsidRPr="000D5CA8">
        <w:lastRenderedPageBreak/>
        <w:t xml:space="preserve">INTRODUCTION </w:t>
      </w:r>
    </w:p>
    <w:p w:rsidR="00202222" w:rsidRPr="00202222" w:rsidRDefault="00202222" w:rsidP="00202222">
      <w:pPr>
        <w:spacing w:after="0" w:line="360" w:lineRule="auto"/>
        <w:ind w:firstLine="567"/>
        <w:jc w:val="both"/>
        <w:rPr>
          <w:rFonts w:ascii="Arial" w:hAnsi="Arial" w:cs="Arial"/>
          <w:sz w:val="20"/>
          <w:szCs w:val="20"/>
        </w:rPr>
      </w:pPr>
      <w:r w:rsidRPr="00202222">
        <w:rPr>
          <w:rFonts w:ascii="Arial" w:hAnsi="Arial" w:cs="Arial"/>
          <w:sz w:val="20"/>
          <w:szCs w:val="20"/>
        </w:rPr>
        <w:t>Boarding activities in Islamic boarding schools have activities similar to school activities in general. The purpose of boarding school is for tafaqquh fi aldin (deepening the mastery of religious knowledge) and eradicating ignorance (izalat al-jahli) (Hindanah, 2012). As in schools, pesantren is also a safe and adequate place for a santri to gain knowledge, develop his potential, and develop himself optimally.</w:t>
      </w:r>
    </w:p>
    <w:p w:rsidR="00202222" w:rsidRPr="00202222" w:rsidRDefault="00202222" w:rsidP="00202222">
      <w:pPr>
        <w:spacing w:after="0" w:line="360" w:lineRule="auto"/>
        <w:ind w:firstLine="567"/>
        <w:jc w:val="both"/>
        <w:rPr>
          <w:rFonts w:ascii="Arial" w:hAnsi="Arial" w:cs="Arial"/>
          <w:sz w:val="20"/>
          <w:szCs w:val="20"/>
        </w:rPr>
      </w:pPr>
      <w:r w:rsidRPr="00202222">
        <w:rPr>
          <w:rFonts w:ascii="Arial" w:hAnsi="Arial" w:cs="Arial"/>
          <w:sz w:val="20"/>
          <w:szCs w:val="20"/>
        </w:rPr>
        <w:t>However, there are often some students who experience anxiety, even experiencing school refusal which in the end can result in the inhibition of cognitive, physical</w:t>
      </w:r>
      <w:r w:rsidR="004658B9">
        <w:rPr>
          <w:rFonts w:ascii="Arial" w:hAnsi="Arial" w:cs="Arial"/>
          <w:sz w:val="20"/>
          <w:szCs w:val="20"/>
          <w:lang w:val="en-US"/>
        </w:rPr>
        <w:t>,</w:t>
      </w:r>
      <w:r w:rsidRPr="00202222">
        <w:rPr>
          <w:rFonts w:ascii="Arial" w:hAnsi="Arial" w:cs="Arial"/>
          <w:sz w:val="20"/>
          <w:szCs w:val="20"/>
        </w:rPr>
        <w:t xml:space="preserve"> and psychosocial development. From the results of interviews with the caretakers of a boarding school in Pasuruan (29 July 2022), it was found that there wer</w:t>
      </w:r>
      <w:r w:rsidR="00E5462E">
        <w:rPr>
          <w:rFonts w:ascii="Arial" w:hAnsi="Arial" w:cs="Arial"/>
          <w:sz w:val="20"/>
          <w:szCs w:val="20"/>
          <w:lang w:val="en-US"/>
        </w:rPr>
        <w:t>several</w:t>
      </w:r>
      <w:r w:rsidRPr="00202222">
        <w:rPr>
          <w:rFonts w:ascii="Arial" w:hAnsi="Arial" w:cs="Arial"/>
          <w:sz w:val="20"/>
          <w:szCs w:val="20"/>
        </w:rPr>
        <w:t>umber of students who experienced school refusal. Some of the behaviors that appear include difficulty adjusting to the new environment at the pesantren, not attending certain classes, sporadic absenteeism from school, going to the Koran with physical and psychological</w:t>
      </w:r>
      <w:r w:rsidR="00E5462E">
        <w:rPr>
          <w:rFonts w:ascii="Arial" w:hAnsi="Arial" w:cs="Arial"/>
          <w:sz w:val="20"/>
          <w:szCs w:val="20"/>
          <w:lang w:val="en-US"/>
        </w:rPr>
        <w:t xml:space="preserve"> complaint</w:t>
      </w:r>
      <w:r w:rsidR="004658B9">
        <w:rPr>
          <w:rFonts w:ascii="Arial" w:hAnsi="Arial" w:cs="Arial"/>
          <w:sz w:val="20"/>
          <w:szCs w:val="20"/>
          <w:lang w:val="en-US"/>
        </w:rPr>
        <w:t>s</w:t>
      </w:r>
      <w:r w:rsidRPr="00202222">
        <w:rPr>
          <w:rFonts w:ascii="Arial" w:hAnsi="Arial" w:cs="Arial"/>
          <w:sz w:val="20"/>
          <w:szCs w:val="20"/>
        </w:rPr>
        <w:t xml:space="preserve">, </w:t>
      </w:r>
      <w:r w:rsidR="004658B9">
        <w:rPr>
          <w:rFonts w:ascii="Arial" w:hAnsi="Arial" w:cs="Arial"/>
          <w:sz w:val="20"/>
          <w:szCs w:val="20"/>
          <w:lang w:val="en-US"/>
        </w:rPr>
        <w:t xml:space="preserve">and </w:t>
      </w:r>
      <w:r w:rsidRPr="00202222">
        <w:rPr>
          <w:rFonts w:ascii="Arial" w:hAnsi="Arial" w:cs="Arial"/>
          <w:sz w:val="20"/>
          <w:szCs w:val="20"/>
        </w:rPr>
        <w:t>even wanting to go home and not wanting to stay again.</w:t>
      </w:r>
    </w:p>
    <w:p w:rsidR="00202222" w:rsidRPr="00202222" w:rsidRDefault="00202222" w:rsidP="00202222">
      <w:pPr>
        <w:spacing w:after="0" w:line="360" w:lineRule="auto"/>
        <w:ind w:firstLine="567"/>
        <w:jc w:val="both"/>
        <w:rPr>
          <w:rFonts w:ascii="Arial" w:hAnsi="Arial" w:cs="Arial"/>
          <w:sz w:val="20"/>
          <w:szCs w:val="20"/>
        </w:rPr>
      </w:pPr>
      <w:r w:rsidRPr="00202222">
        <w:rPr>
          <w:rFonts w:ascii="Arial" w:hAnsi="Arial" w:cs="Arial"/>
          <w:sz w:val="20"/>
          <w:szCs w:val="20"/>
        </w:rPr>
        <w:t xml:space="preserve">The severity of school refusal is divided into four levels as follows: (1) Initial school refusal behavior, is a refusal to go to school that lasts for a very short time and is sudden (spontaneous), which ends by itself without intervention (2) Substantial school refusal </w:t>
      </w:r>
      <w:r w:rsidR="00E5462E">
        <w:rPr>
          <w:rFonts w:ascii="Arial" w:hAnsi="Arial" w:cs="Arial"/>
          <w:sz w:val="20"/>
          <w:szCs w:val="20"/>
          <w:lang w:val="en-US"/>
        </w:rPr>
        <w:t>b</w:t>
      </w:r>
      <w:r w:rsidRPr="00202222">
        <w:rPr>
          <w:rFonts w:ascii="Arial" w:hAnsi="Arial" w:cs="Arial"/>
          <w:sz w:val="20"/>
          <w:szCs w:val="20"/>
        </w:rPr>
        <w:t xml:space="preserve">ehavior, is a refusal to go to school that lasts for a period of two weeks, (3) Acute school refusal behavior, is defined as a refusal to go to school that lasts for two weeks to one year. (4) Chronic school refusal behavior, showing refusal to attend </w:t>
      </w:r>
      <w:r w:rsidR="00DB3D33">
        <w:rPr>
          <w:rFonts w:ascii="Arial" w:hAnsi="Arial" w:cs="Arial"/>
          <w:sz w:val="20"/>
          <w:szCs w:val="20"/>
          <w:lang w:val="en-US"/>
        </w:rPr>
        <w:t xml:space="preserve">a </w:t>
      </w:r>
      <w:r w:rsidRPr="00202222">
        <w:rPr>
          <w:rFonts w:ascii="Arial" w:hAnsi="Arial" w:cs="Arial"/>
          <w:sz w:val="20"/>
          <w:szCs w:val="20"/>
        </w:rPr>
        <w:t xml:space="preserve">school that lasts more than one year. The longer a child is out of school, the greater the effort required to get him back to school </w:t>
      </w:r>
      <w:r w:rsidR="004658B9">
        <w:rPr>
          <w:rFonts w:ascii="Arial" w:hAnsi="Arial" w:cs="Arial"/>
          <w:sz w:val="20"/>
          <w:szCs w:val="20"/>
        </w:rPr>
        <w:fldChar w:fldCharType="begin" w:fldLock="1"/>
      </w:r>
      <w:r w:rsidR="004658B9">
        <w:rPr>
          <w:rFonts w:ascii="Arial" w:hAnsi="Arial" w:cs="Arial"/>
          <w:sz w:val="20"/>
          <w:szCs w:val="20"/>
        </w:rPr>
        <w:instrText>ADDIN CSL_CITATION {"citationItems":[{"id":"ITEM-1","itemData":{"DOI":"10.1007/s12144-020-00711-6","ISSN":"19364733","abstract":"School attendance problems are a serious issue for educators, psychologists and physicians. Nonattendance is a key risk factor for academic failure, violence, psychiatric disorders or economic deprivation. This study aimed to identify different school refusal behavior profiles and to determine whether these profiles differ from each other based on several psychopathological symptoms (somatization, obsessive-compulsive, interpersonal sensitivity, depression, anxiety, hostility, phobic anxiety, paranoid ideation and psychoticism). The participants were 1894 Spanish adolescents (53% boys) aged 15–18 years (M = 16.84, SD = 1.03). The School Refusal Assessment Scale-Revised (SRAS-R) and the Symptom Assessment-45 Questionnaire (SA-45) were administered. Latent class analysis revealed four school refusal behavior profiles: Non-School Refusal Behavior, High School Refusal Behavior, Moderately Low School Refusal Behavior and Moderately High School Refusal Behavior. The results indicated that the High School Refusal Behavior and Moderately High School Refusal Behavior groups were the most maladaptive profiles and revealed the highest mean scores on the psychopathological symptoms. These findings highlight the importance of promoting good mental health to prevent school refusal behaviors.","author":[{"dropping-particle":"","family":"Gonzálvez","given":"Carolina","non-dropping-particle":"","parse-names":false,"suffix":""},{"dropping-particle":"","family":"Díaz-Herrero","given":"Ángela","non-dropping-particle":"","parse-names":false,"suffix":""},{"dropping-particle":"","family":"Vicent","given":"María","non-dropping-particle":"","parse-names":false,"suffix":""},{"dropping-particle":"","family":"Sanmartín","given":"Ricardo","non-dropping-particle":"","parse-names":false,"suffix":""},{"dropping-particle":"","family":"Pérez-Sánchez","given":"Antonio M.","non-dropping-particle":"","parse-names":false,"suffix":""},{"dropping-particle":"","family":"García-Fernández","given":"José M.","non-dropping-particle":"","parse-names":false,"suffix":""}],"container-title":"Current Psychology","id":"ITEM-1","issued":{"date-parts":[["2020"]]},"page":"2078-2088","publisher":"Current Psychology","title":"School refusal behavior: Latent class analysis approach and its relationship with psychopathological symptoms","type":"article-journal"},"uris":["http://www.mendeley.com/documents/?uuid=d557d5ca-65b2-4c3a-bb1f-49d3c5ddba5e"]}],"mendeley":{"formattedCitation":"(Gonzálvez et al., 2020)","plainTextFormattedCitation":"(Gonzálvez et al., 2020)","previouslyFormattedCitation":"(Gonzálvez et al., 2020)"},"properties":{"noteIndex":0},"schema":"https://github.com/citation-style-language/schema/raw/master/csl-citation.json"}</w:instrText>
      </w:r>
      <w:r w:rsidR="004658B9">
        <w:rPr>
          <w:rFonts w:ascii="Arial" w:hAnsi="Arial" w:cs="Arial"/>
          <w:sz w:val="20"/>
          <w:szCs w:val="20"/>
        </w:rPr>
        <w:fldChar w:fldCharType="separate"/>
      </w:r>
      <w:r w:rsidR="004658B9" w:rsidRPr="004658B9">
        <w:rPr>
          <w:rFonts w:ascii="Arial" w:hAnsi="Arial" w:cs="Arial"/>
          <w:noProof/>
          <w:sz w:val="20"/>
          <w:szCs w:val="20"/>
        </w:rPr>
        <w:t>(Gonzálvez et al., 2020)</w:t>
      </w:r>
      <w:r w:rsidR="004658B9">
        <w:rPr>
          <w:rFonts w:ascii="Arial" w:hAnsi="Arial" w:cs="Arial"/>
          <w:sz w:val="20"/>
          <w:szCs w:val="20"/>
        </w:rPr>
        <w:fldChar w:fldCharType="end"/>
      </w:r>
      <w:r w:rsidRPr="00202222">
        <w:rPr>
          <w:rFonts w:ascii="Arial" w:hAnsi="Arial" w:cs="Arial"/>
          <w:sz w:val="20"/>
          <w:szCs w:val="20"/>
        </w:rPr>
        <w:t>.</w:t>
      </w:r>
    </w:p>
    <w:p w:rsidR="00202222" w:rsidRPr="00202222" w:rsidRDefault="00202222" w:rsidP="00202222">
      <w:pPr>
        <w:spacing w:after="0" w:line="360" w:lineRule="auto"/>
        <w:ind w:firstLine="567"/>
        <w:jc w:val="both"/>
        <w:rPr>
          <w:rFonts w:ascii="Arial" w:hAnsi="Arial" w:cs="Arial"/>
          <w:sz w:val="20"/>
          <w:szCs w:val="20"/>
        </w:rPr>
      </w:pPr>
      <w:r w:rsidRPr="00202222">
        <w:rPr>
          <w:rFonts w:ascii="Arial" w:hAnsi="Arial" w:cs="Arial"/>
          <w:sz w:val="20"/>
          <w:szCs w:val="20"/>
        </w:rPr>
        <w:t xml:space="preserve">To help solve the problems of students experiencing school refusal, one of them can use ego state counseling (ESC). Ego state counseling has proven to be effective in helping high school students who experience school refusal, helping PTSD earthquake victims, </w:t>
      </w:r>
      <w:r w:rsidR="004658B9">
        <w:rPr>
          <w:rFonts w:ascii="Arial" w:hAnsi="Arial" w:cs="Arial"/>
          <w:sz w:val="20"/>
          <w:szCs w:val="20"/>
          <w:lang w:val="en-US"/>
        </w:rPr>
        <w:t xml:space="preserve">and </w:t>
      </w:r>
      <w:r w:rsidRPr="00202222">
        <w:rPr>
          <w:rFonts w:ascii="Arial" w:hAnsi="Arial" w:cs="Arial"/>
          <w:sz w:val="20"/>
          <w:szCs w:val="20"/>
        </w:rPr>
        <w:t>helping victims of bullying</w:t>
      </w:r>
      <w:r w:rsidR="004658B9">
        <w:rPr>
          <w:rFonts w:ascii="Arial" w:hAnsi="Arial" w:cs="Arial"/>
          <w:sz w:val="20"/>
          <w:szCs w:val="20"/>
          <w:lang w:val="en-US"/>
        </w:rPr>
        <w:t xml:space="preserve"> </w:t>
      </w:r>
      <w:r w:rsidR="004658B9">
        <w:rPr>
          <w:rFonts w:ascii="Arial" w:hAnsi="Arial" w:cs="Arial"/>
          <w:sz w:val="20"/>
          <w:szCs w:val="20"/>
          <w:lang w:val="en-US"/>
        </w:rPr>
        <w:fldChar w:fldCharType="begin" w:fldLock="1"/>
      </w:r>
      <w:r w:rsidR="00CC5AB2">
        <w:rPr>
          <w:rFonts w:ascii="Arial" w:hAnsi="Arial" w:cs="Arial"/>
          <w:sz w:val="20"/>
          <w:szCs w:val="20"/>
          <w:lang w:val="en-US"/>
        </w:rPr>
        <w:instrText>ADDIN CSL_CITATION {"citationItems":[{"id":"ITEM-1","itemData":{"ISBN":"9781728149080","abstract":"Date of conference: 4-5 October 2019; conference location: Malang, Indonesia.","author":[{"dropping-particle":"","family":"Nursalim","given":"Mochamad; Triyono","non-dropping-particle":"","parse-names":false,"suffix":""}],"container-title":"The Effectiveness of Brief Ego State Cognitive Behavior Counseling to Reduce PTSD Symptoms in Victims of Natural Disasters in Central Sulawesi","id":"ITEM-1","issued":{"date-parts":[["2019","10","4"]]},"page":"131-134","publisher-place":"Malang","title":"2019 5th International Conference on Education and Technology (ICET).","type":"paper-conference"},"uris":["http://www.mendeley.com/documents/?uuid=e380fe2d-ee9d-37e8-bddf-7140c4ee0531"]}],"mendeley":{"formattedCitation":"(Nursalim, 2019)","plainTextFormattedCitation":"(Nursalim, 2019)","previouslyFormattedCitation":"(Nursalim, 2019)"},"properties":{"noteIndex":0},"schema":"https://github.com/citation-style-language/schema/raw/master/csl-citation.json"}</w:instrText>
      </w:r>
      <w:r w:rsidR="004658B9">
        <w:rPr>
          <w:rFonts w:ascii="Arial" w:hAnsi="Arial" w:cs="Arial"/>
          <w:sz w:val="20"/>
          <w:szCs w:val="20"/>
          <w:lang w:val="en-US"/>
        </w:rPr>
        <w:fldChar w:fldCharType="separate"/>
      </w:r>
      <w:r w:rsidR="004658B9" w:rsidRPr="00CC5AB2">
        <w:rPr>
          <w:rFonts w:ascii="Arial" w:hAnsi="Arial" w:cs="Arial"/>
          <w:noProof/>
          <w:sz w:val="20"/>
          <w:szCs w:val="20"/>
          <w:lang w:val="en-US"/>
        </w:rPr>
        <w:t>(Nursalim, 2019)</w:t>
      </w:r>
      <w:r w:rsidR="004658B9">
        <w:rPr>
          <w:rFonts w:ascii="Arial" w:hAnsi="Arial" w:cs="Arial"/>
          <w:sz w:val="20"/>
          <w:szCs w:val="20"/>
          <w:lang w:val="en-US"/>
        </w:rPr>
        <w:fldChar w:fldCharType="end"/>
      </w:r>
      <w:r w:rsidRPr="00202222">
        <w:rPr>
          <w:rFonts w:ascii="Arial" w:hAnsi="Arial" w:cs="Arial"/>
          <w:sz w:val="20"/>
          <w:szCs w:val="20"/>
        </w:rPr>
        <w:t>.</w:t>
      </w:r>
    </w:p>
    <w:p w:rsidR="00983DE8" w:rsidRDefault="00202222" w:rsidP="00202222">
      <w:pPr>
        <w:spacing w:after="0" w:line="360" w:lineRule="auto"/>
        <w:ind w:firstLine="567"/>
        <w:jc w:val="both"/>
        <w:rPr>
          <w:rFonts w:ascii="Arial" w:hAnsi="Arial" w:cs="Arial"/>
          <w:sz w:val="20"/>
          <w:szCs w:val="20"/>
        </w:rPr>
      </w:pPr>
      <w:r w:rsidRPr="00202222">
        <w:rPr>
          <w:rFonts w:ascii="Arial" w:hAnsi="Arial" w:cs="Arial"/>
          <w:sz w:val="20"/>
          <w:szCs w:val="20"/>
        </w:rPr>
        <w:t xml:space="preserve">Ego State Counseling which is abbreviated as ESC is a brief counseling model based on the premise of personality which consists of separate parts and this is called the ego state. Ego State Counseling is a method that focuses on the premise of personality which consists of separate parts called ego state or Mini Personality </w:t>
      </w:r>
      <w:r w:rsidR="00CC5AB2">
        <w:rPr>
          <w:rFonts w:ascii="Arial" w:hAnsi="Arial" w:cs="Arial"/>
          <w:sz w:val="20"/>
          <w:szCs w:val="20"/>
        </w:rPr>
        <w:fldChar w:fldCharType="begin" w:fldLock="1"/>
      </w:r>
      <w:r w:rsidR="00CC5AB2">
        <w:rPr>
          <w:rFonts w:ascii="Arial" w:hAnsi="Arial" w:cs="Arial"/>
          <w:sz w:val="20"/>
          <w:szCs w:val="20"/>
        </w:rPr>
        <w:instrText>ADDIN CSL_CITATION {"citationItems":[{"id":"ITEM-1","itemData":{"DOI":"10.1080/00207144.2011.595349","ISSN":"00207144","PMID":"21867374","abstract":"Ego state therapy (EST) evolved from a psychodynamic understanding of personality as a product of an individual's ego states to a conceptualization of how ego-energized and object-energized elements are bound together to cope with a traumatic event. Neurobiological studies now substantiate Watkins's war neuroses conceptualizations. Because of their severity, trauma memories are encoded in the subcortical-subconscious brain regions that are accessed by the single-session manualized EST procedure but not by the popular cognitive-behavioral management therapies. The imprint of the trauma is not accessible or resolvable by such top-down verbal understanding or reframing; EST is a bottom-up therapy. Abreactive hypnosis facilitates ego state expression at physiologically and psychologically intense levels sufficient to activate subcortical processes to release affect in the presence of the therapist, who adds ego strength to the patient. This is followed by interpretation and reintegration. The result is a reconstructed personality that is adaptive and resilient. Copyright © International Journal of Clinical and Experimental Hypnosis.","author":[{"dropping-particle":"","family":"Barabasz","given":"Arreed F.","non-dropping-particle":"","parse-names":false,"suffix":""},{"dropping-particle":"","family":"Barabasz","given":"Marianne","non-dropping-particle":"","parse-names":false,"suffix":""},{"dropping-particle":"","family":"Watkins","given":"John G.","non-dropping-particle":"","parse-names":false,"suffix":""}],"container-title":"International Journal of Clinical and Experimental Hypnosis","id":"ITEM-1","issue":"4","issued":{"date-parts":[["2011"]]},"page":"379-391","title":"Single-session manualized ego state therapy (EST) for combat stress injury, PTSD, and ASD, part 1: The theory","type":"article-journal","volume":"59"},"uris":["http://www.mendeley.com/documents/?uuid=7b6aaac3-f4d9-4a80-b7c9-7dd964fbfd72"]}],"mendeley":{"formattedCitation":"(Barabasz et al., 2011)","plainTextFormattedCitation":"(Barabasz et al., 2011)","previouslyFormattedCitation":"(Barabasz et al., 2011)"},"properties":{"noteIndex":0},"schema":"https://github.com/citation-style-language/schema/raw/master/csl-citation.json"}</w:instrText>
      </w:r>
      <w:r w:rsidR="00CC5AB2">
        <w:rPr>
          <w:rFonts w:ascii="Arial" w:hAnsi="Arial" w:cs="Arial"/>
          <w:sz w:val="20"/>
          <w:szCs w:val="20"/>
        </w:rPr>
        <w:fldChar w:fldCharType="separate"/>
      </w:r>
      <w:r w:rsidR="00CC5AB2" w:rsidRPr="00CC5AB2">
        <w:rPr>
          <w:rFonts w:ascii="Arial" w:hAnsi="Arial" w:cs="Arial"/>
          <w:noProof/>
          <w:sz w:val="20"/>
          <w:szCs w:val="20"/>
        </w:rPr>
        <w:t>(Barabasz et al., 2011)</w:t>
      </w:r>
      <w:r w:rsidR="00CC5AB2">
        <w:rPr>
          <w:rFonts w:ascii="Arial" w:hAnsi="Arial" w:cs="Arial"/>
          <w:sz w:val="20"/>
          <w:szCs w:val="20"/>
        </w:rPr>
        <w:fldChar w:fldCharType="end"/>
      </w:r>
      <w:r w:rsidRPr="00202222">
        <w:rPr>
          <w:rFonts w:ascii="Arial" w:hAnsi="Arial" w:cs="Arial"/>
          <w:sz w:val="20"/>
          <w:szCs w:val="20"/>
        </w:rPr>
        <w:t>. The purpose of Ego State Counseling is first, to allocate an ego state where ther</w:t>
      </w:r>
      <w:r w:rsidR="007B0619">
        <w:rPr>
          <w:rFonts w:ascii="Arial" w:hAnsi="Arial" w:cs="Arial"/>
          <w:sz w:val="20"/>
          <w:szCs w:val="20"/>
        </w:rPr>
        <w:t xml:space="preserve">e is pain, school </w:t>
      </w:r>
      <w:r w:rsidR="007B0619">
        <w:rPr>
          <w:rFonts w:ascii="Arial" w:hAnsi="Arial" w:cs="Arial"/>
          <w:sz w:val="20"/>
          <w:szCs w:val="20"/>
          <w:lang w:val="en-US"/>
        </w:rPr>
        <w:t>refusal</w:t>
      </w:r>
      <w:r w:rsidR="007B0619">
        <w:rPr>
          <w:rFonts w:ascii="Arial" w:hAnsi="Arial" w:cs="Arial"/>
          <w:sz w:val="20"/>
          <w:szCs w:val="20"/>
        </w:rPr>
        <w:t>, anger</w:t>
      </w:r>
      <w:r w:rsidR="00A10707">
        <w:rPr>
          <w:rFonts w:ascii="Arial" w:hAnsi="Arial" w:cs="Arial"/>
          <w:sz w:val="20"/>
          <w:szCs w:val="20"/>
          <w:lang w:val="en-US"/>
        </w:rPr>
        <w:t>,</w:t>
      </w:r>
      <w:r w:rsidR="007B0619">
        <w:rPr>
          <w:rFonts w:ascii="Arial" w:hAnsi="Arial" w:cs="Arial"/>
          <w:sz w:val="20"/>
          <w:szCs w:val="20"/>
          <w:lang w:val="en-US"/>
        </w:rPr>
        <w:t xml:space="preserve"> </w:t>
      </w:r>
      <w:r w:rsidRPr="00202222">
        <w:rPr>
          <w:rFonts w:ascii="Arial" w:hAnsi="Arial" w:cs="Arial"/>
          <w:sz w:val="20"/>
          <w:szCs w:val="20"/>
        </w:rPr>
        <w:t>frustration, which is facilitated to be expressed, released and empowered. Second, it facilitates the communication function between the ego states. Third, help the client to recognize his ego state. Fourth, resolve conflicts within the client</w:t>
      </w:r>
      <w:r w:rsidR="00CC5AB2">
        <w:rPr>
          <w:rFonts w:ascii="Arial" w:hAnsi="Arial" w:cs="Arial"/>
          <w:sz w:val="20"/>
          <w:szCs w:val="20"/>
          <w:lang w:val="en-US"/>
        </w:rPr>
        <w:t xml:space="preserve"> </w:t>
      </w:r>
      <w:r w:rsidR="00CC5AB2">
        <w:rPr>
          <w:rFonts w:ascii="Arial" w:hAnsi="Arial" w:cs="Arial"/>
          <w:sz w:val="20"/>
          <w:szCs w:val="20"/>
          <w:lang w:val="en-US"/>
        </w:rPr>
        <w:fldChar w:fldCharType="begin" w:fldLock="1"/>
      </w:r>
      <w:r w:rsidR="00EE7858">
        <w:rPr>
          <w:rFonts w:ascii="Arial" w:hAnsi="Arial" w:cs="Arial"/>
          <w:sz w:val="20"/>
          <w:szCs w:val="20"/>
          <w:lang w:val="en-US"/>
        </w:rPr>
        <w:instrText>ADDIN CSL_CITATION {"citationItems":[{"id":"ITEM-1","itemData":{"DOI":"10.1080/00207144.2018.1494435","ISSN":"17445183","PMID":"30152736","abstract":"The purpose of this article is to elucidate the origins of ego-state theory and therapy and to discuss the concept of human personality as a structure comprising numerous ego states. The historical roots of ego-state theory and therapy are reviewed. Also, the evolution of ego-state therapy from classic hypnotherapy to modern methods is identified. The article notes that these methods of ego-state therapy have been described by different authors and under different names. It is suggested that core concepts related to ego-state theory and therapy of guided hypnotic dissociation may underlie the core of clinical effectiveness in many contemporary psychotherapeutic methods.","author":[{"dropping-particle":"","family":"Abramowitz","given":"Eitan G.","non-dropping-particle":"","parse-names":false,"suffix":""},{"dropping-particle":"","family":"Torem","given":"Moshe S.","non-dropping-particle":"","parse-names":false,"suffix":""}],"container-title":"International Journal of Clinical and Experimental Hypnosis","id":"ITEM-1","issue":"4","issued":{"date-parts":[["2018"]]},"page":"353-370","publisher":"Routledge","title":"The Roots and Evolution of Ego-State Theory and Therapy","type":"article-journal","volume":"66"},"uris":["http://www.mendeley.com/documents/?uuid=c3842259-86d5-45b3-849b-b769361ac69f"]}],"mendeley":{"formattedCitation":"(Abramowitz &amp; Torem, 2018)","plainTextFormattedCitation":"(Abramowitz &amp; Torem, 2018)","previouslyFormattedCitation":"(Abramowitz &amp; Torem, 2018)"},"properties":{"noteIndex":0},"schema":"https://github.com/citation-style-language/schema/raw/master/csl-citation.json"}</w:instrText>
      </w:r>
      <w:r w:rsidR="00CC5AB2">
        <w:rPr>
          <w:rFonts w:ascii="Arial" w:hAnsi="Arial" w:cs="Arial"/>
          <w:sz w:val="20"/>
          <w:szCs w:val="20"/>
          <w:lang w:val="en-US"/>
        </w:rPr>
        <w:fldChar w:fldCharType="separate"/>
      </w:r>
      <w:r w:rsidR="00CC5AB2" w:rsidRPr="00CC5AB2">
        <w:rPr>
          <w:rFonts w:ascii="Arial" w:hAnsi="Arial" w:cs="Arial"/>
          <w:noProof/>
          <w:sz w:val="20"/>
          <w:szCs w:val="20"/>
          <w:lang w:val="en-US"/>
        </w:rPr>
        <w:t>(Abramowitz &amp; Torem, 2018)</w:t>
      </w:r>
      <w:r w:rsidR="00CC5AB2">
        <w:rPr>
          <w:rFonts w:ascii="Arial" w:hAnsi="Arial" w:cs="Arial"/>
          <w:sz w:val="20"/>
          <w:szCs w:val="20"/>
          <w:lang w:val="en-US"/>
        </w:rPr>
        <w:fldChar w:fldCharType="end"/>
      </w:r>
      <w:r w:rsidRPr="00202222">
        <w:rPr>
          <w:rFonts w:ascii="Arial" w:hAnsi="Arial" w:cs="Arial"/>
          <w:sz w:val="20"/>
          <w:szCs w:val="20"/>
        </w:rPr>
        <w:t>.</w:t>
      </w:r>
    </w:p>
    <w:p w:rsidR="00202222" w:rsidRDefault="00202222" w:rsidP="009002A3">
      <w:pPr>
        <w:pStyle w:val="HeadBody"/>
      </w:pPr>
    </w:p>
    <w:p w:rsidR="00983DE8" w:rsidRPr="001415DD" w:rsidRDefault="000D5CA8" w:rsidP="009002A3">
      <w:pPr>
        <w:pStyle w:val="HeadBody"/>
      </w:pPr>
      <w:r w:rsidRPr="000D5CA8">
        <w:t>METHODOLOGY</w:t>
      </w:r>
    </w:p>
    <w:p w:rsidR="00A10707" w:rsidRDefault="00A10707" w:rsidP="00A10707">
      <w:pPr>
        <w:pStyle w:val="Body"/>
        <w:rPr>
          <w:lang w:val="en-US"/>
        </w:rPr>
      </w:pPr>
      <w:r w:rsidRPr="00A10707">
        <w:rPr>
          <w:lang w:val="en-US"/>
        </w:rPr>
        <w:t>The design of this research is a single case experimental design (SCED) with model A – B – A</w:t>
      </w:r>
      <w:r w:rsidR="00DB3D33">
        <w:rPr>
          <w:lang w:val="en-US"/>
        </w:rPr>
        <w:t xml:space="preserve"> </w:t>
      </w:r>
      <w:r w:rsidR="00DB3D33">
        <w:rPr>
          <w:lang w:val="en-US"/>
        </w:rPr>
        <w:fldChar w:fldCharType="begin" w:fldLock="1"/>
      </w:r>
      <w:r w:rsidR="00DB3D33">
        <w:rPr>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approach.","author":[{"dropping-particle":"","family":"Indra","given":"Prahmana Rully Charitas","non-dropping-particle":"","parse-names":false,"suffix":""}],"container-title":"Journal of Chemical Information and Modeling","id":"ITEM-1","issue":"9","issued":{"date-parts":[["2021"]]},"number-of-pages":"1689-1699","title":"Single Subject Research (teori dan implementasinya: suatu pengantar)","type":"book","volume":"53"},"uris":["http://www.mendeley.com/documents/?uuid=da62cc45-b23b-4982-a580-feccd4bc24c0"]}],"mendeley":{"formattedCitation":"(Indra, 2021)","plainTextFormattedCitation":"(Indra, 2021)"},"properties":{"noteIndex":0},"schema":"https://github.com/citation-style-language/schema/raw/master/csl-citation.json"}</w:instrText>
      </w:r>
      <w:r w:rsidR="00DB3D33">
        <w:rPr>
          <w:lang w:val="en-US"/>
        </w:rPr>
        <w:fldChar w:fldCharType="separate"/>
      </w:r>
      <w:r w:rsidR="00DB3D33" w:rsidRPr="00DB3D33">
        <w:rPr>
          <w:noProof/>
          <w:lang w:val="en-US"/>
        </w:rPr>
        <w:t>(Indra, 2021)</w:t>
      </w:r>
      <w:r w:rsidR="00DB3D33">
        <w:rPr>
          <w:lang w:val="en-US"/>
        </w:rPr>
        <w:fldChar w:fldCharType="end"/>
      </w:r>
      <w:r w:rsidRPr="00A10707">
        <w:rPr>
          <w:lang w:val="en-US"/>
        </w:rPr>
        <w:t>.</w:t>
      </w:r>
      <w:r>
        <w:rPr>
          <w:lang w:val="en-US"/>
        </w:rPr>
        <w:t xml:space="preserve"> </w:t>
      </w:r>
      <w:r w:rsidRPr="00A10707">
        <w:rPr>
          <w:lang w:val="en-US"/>
        </w:rPr>
        <w:t xml:space="preserve"> The data collection instrument is a school refusal check list (SRC).</w:t>
      </w:r>
      <w:r>
        <w:rPr>
          <w:lang w:val="en-US"/>
        </w:rPr>
        <w:t>T</w:t>
      </w:r>
      <w:r w:rsidRPr="00A10707">
        <w:rPr>
          <w:lang w:val="en-US"/>
        </w:rPr>
        <w:t xml:space="preserve">hrough purposive sampling technique, 5 students were selected as subjects who had problems with </w:t>
      </w:r>
      <w:r w:rsidRPr="00A10707">
        <w:rPr>
          <w:lang w:val="en-US"/>
        </w:rPr>
        <w:lastRenderedPageBreak/>
        <w:t xml:space="preserve">Chronicle School Refusal Behavior. </w:t>
      </w:r>
      <w:proofErr w:type="gramStart"/>
      <w:r w:rsidRPr="00A10707">
        <w:rPr>
          <w:lang w:val="en-US"/>
        </w:rPr>
        <w:t>there</w:t>
      </w:r>
      <w:proofErr w:type="gramEnd"/>
      <w:r w:rsidRPr="00A10707">
        <w:rPr>
          <w:lang w:val="en-US"/>
        </w:rPr>
        <w:t xml:space="preserve"> are 3 men and two women aged between 16 to 17 years who were selected as research subjects</w:t>
      </w:r>
    </w:p>
    <w:p w:rsidR="00A10707" w:rsidRPr="00A10707" w:rsidRDefault="00A10707" w:rsidP="00A10707">
      <w:pPr>
        <w:pStyle w:val="Body"/>
        <w:rPr>
          <w:lang w:val="en-US"/>
        </w:rPr>
      </w:pPr>
      <w:r>
        <w:rPr>
          <w:lang w:val="en-US"/>
        </w:rPr>
        <w:t>T</w:t>
      </w:r>
      <w:r w:rsidRPr="00A10707">
        <w:rPr>
          <w:lang w:val="en-US"/>
        </w:rPr>
        <w:t>he counselors who gave the experiment were counselors who had previously received training in ESC. There are some limitations. In this study, the considerations are 1) the counselee who has school refusa</w:t>
      </w:r>
      <w:r w:rsidR="007B0619">
        <w:rPr>
          <w:lang w:val="en-US"/>
        </w:rPr>
        <w:t xml:space="preserve">l scores in the high category, </w:t>
      </w:r>
      <w:r w:rsidRPr="00A10707">
        <w:rPr>
          <w:lang w:val="en-US"/>
        </w:rPr>
        <w:t>2) the counselee's consent to attend the counseling session.</w:t>
      </w:r>
    </w:p>
    <w:p w:rsidR="00A10707" w:rsidRPr="00A10707" w:rsidRDefault="00A10707" w:rsidP="00A10707">
      <w:pPr>
        <w:pStyle w:val="Body"/>
        <w:rPr>
          <w:lang w:val="en-US"/>
        </w:rPr>
      </w:pPr>
      <w:r w:rsidRPr="00A10707">
        <w:rPr>
          <w:lang w:val="en-US"/>
        </w:rPr>
        <w:t xml:space="preserve">The treatment was carried out in six meetings, each meeting approximately 60 minutes. The stages of implementing the </w:t>
      </w:r>
      <w:r w:rsidR="007B0619">
        <w:rPr>
          <w:lang w:val="en-US"/>
        </w:rPr>
        <w:t>counseling</w:t>
      </w:r>
      <w:r w:rsidRPr="00A10707">
        <w:rPr>
          <w:lang w:val="en-US"/>
        </w:rPr>
        <w:t xml:space="preserve"> intervention are as follows </w:t>
      </w:r>
      <w:r>
        <w:rPr>
          <w:lang w:val="en-US"/>
        </w:rPr>
        <w:t xml:space="preserve">1) </w:t>
      </w:r>
      <w:r w:rsidRPr="00A10707">
        <w:rPr>
          <w:lang w:val="en-US"/>
        </w:rPr>
        <w:t xml:space="preserve">relationship building (rapport) and problem assessment; 2) goal formulation, strategy selection, and implementation; 3) relaxation exercises; </w:t>
      </w:r>
      <w:r>
        <w:rPr>
          <w:lang w:val="en-US"/>
        </w:rPr>
        <w:t>4</w:t>
      </w:r>
      <w:r w:rsidRPr="00A10707">
        <w:rPr>
          <w:lang w:val="en-US"/>
        </w:rPr>
        <w:t xml:space="preserve">) mapping of ego status; </w:t>
      </w:r>
      <w:r>
        <w:rPr>
          <w:lang w:val="en-US"/>
        </w:rPr>
        <w:t>5</w:t>
      </w:r>
      <w:r w:rsidRPr="00A10707">
        <w:rPr>
          <w:lang w:val="en-US"/>
        </w:rPr>
        <w:t xml:space="preserve">) processing and dealing with injured egos;  </w:t>
      </w:r>
      <w:r>
        <w:rPr>
          <w:lang w:val="en-US"/>
        </w:rPr>
        <w:t>6</w:t>
      </w:r>
      <w:r w:rsidRPr="00A10707">
        <w:rPr>
          <w:lang w:val="en-US"/>
        </w:rPr>
        <w:t xml:space="preserve">) evaluation, follow-up, and termination. In addition, experiments were carried out individually in the </w:t>
      </w:r>
      <w:r w:rsidR="007B0619">
        <w:rPr>
          <w:lang w:val="en-US"/>
        </w:rPr>
        <w:t>counseling</w:t>
      </w:r>
      <w:r w:rsidRPr="00A10707">
        <w:rPr>
          <w:lang w:val="en-US"/>
        </w:rPr>
        <w:t xml:space="preserve"> room. </w:t>
      </w:r>
    </w:p>
    <w:p w:rsidR="00A10707" w:rsidRPr="00A10707" w:rsidRDefault="00A10707" w:rsidP="00A10707">
      <w:pPr>
        <w:pStyle w:val="Body"/>
        <w:rPr>
          <w:lang w:val="en-US"/>
        </w:rPr>
      </w:pPr>
      <w:r w:rsidRPr="00A10707">
        <w:rPr>
          <w:lang w:val="en-US"/>
        </w:rPr>
        <w:t>This data analysis involves three steps: analysis under the same conditions, between conditions, and between the same conditions.</w:t>
      </w:r>
      <w:r>
        <w:rPr>
          <w:lang w:val="en-US"/>
        </w:rPr>
        <w:t xml:space="preserve"> </w:t>
      </w:r>
      <w:r w:rsidRPr="00A10707">
        <w:rPr>
          <w:lang w:val="en-US"/>
        </w:rPr>
        <w:t xml:space="preserve">For analysis under conditions, the things that need to be analyzed include 1) condition length, 2) direction trend estimation, 3) stability trend, 4) data trail, 5) stability level and range, and 6) level of change. For analysis between conditions that need to be analyzed include: 1) the number of variables, 2) changes in trends and their effects, 3) </w:t>
      </w:r>
      <w:proofErr w:type="gramStart"/>
      <w:r w:rsidRPr="00A10707">
        <w:rPr>
          <w:lang w:val="en-US"/>
        </w:rPr>
        <w:t>changes</w:t>
      </w:r>
      <w:proofErr w:type="gramEnd"/>
      <w:r w:rsidRPr="00A10707">
        <w:rPr>
          <w:lang w:val="en-US"/>
        </w:rPr>
        <w:t xml:space="preserve"> in stability, 4) changes in level, and 5) percentage overlap. While the analysis between the same conditions is carried out on things as in the internal analysis</w:t>
      </w:r>
      <w:r>
        <w:rPr>
          <w:lang w:val="en-US"/>
        </w:rPr>
        <w:t xml:space="preserve">. </w:t>
      </w:r>
      <w:r w:rsidRPr="00A10707">
        <w:rPr>
          <w:lang w:val="en-US"/>
        </w:rPr>
        <w:t>The technique used to analyze the research data is visual data analysis and Wilcoxon Matched Pairs Signed Ranks Test analysis, as well as descriptive analysis.</w:t>
      </w:r>
    </w:p>
    <w:p w:rsidR="00983DE8" w:rsidRDefault="00983DE8" w:rsidP="000D5CA8">
      <w:pPr>
        <w:spacing w:after="0" w:line="360" w:lineRule="auto"/>
        <w:ind w:firstLine="567"/>
        <w:jc w:val="both"/>
        <w:rPr>
          <w:rFonts w:ascii="Arial" w:hAnsi="Arial" w:cs="Arial"/>
          <w:sz w:val="20"/>
          <w:szCs w:val="20"/>
        </w:rPr>
      </w:pPr>
    </w:p>
    <w:p w:rsidR="00983DE8" w:rsidRDefault="000D5CA8" w:rsidP="009002A3">
      <w:pPr>
        <w:pStyle w:val="HeadBody"/>
      </w:pPr>
      <w:r w:rsidRPr="000D5CA8">
        <w:t>RESULT AND DISCUSSION</w:t>
      </w:r>
    </w:p>
    <w:p w:rsidR="00C430D4" w:rsidRPr="00C430D4" w:rsidRDefault="00C430D4" w:rsidP="009002A3">
      <w:pPr>
        <w:pStyle w:val="HeadBody"/>
        <w:rPr>
          <w:lang w:val="en-US"/>
        </w:rPr>
      </w:pPr>
      <w:r>
        <w:rPr>
          <w:lang w:val="en-US"/>
        </w:rPr>
        <w:t xml:space="preserve">Result </w:t>
      </w:r>
    </w:p>
    <w:p w:rsidR="00394A15" w:rsidRDefault="00394A15" w:rsidP="00266743">
      <w:pPr>
        <w:spacing w:line="360" w:lineRule="auto"/>
        <w:ind w:firstLine="720"/>
        <w:jc w:val="both"/>
        <w:rPr>
          <w:rFonts w:ascii="Arial" w:hAnsi="Arial" w:cs="Arial"/>
          <w:sz w:val="20"/>
          <w:szCs w:val="20"/>
          <w:lang w:val="en-US"/>
        </w:rPr>
      </w:pPr>
      <w:r w:rsidRPr="00394A15">
        <w:rPr>
          <w:rFonts w:ascii="Arial" w:hAnsi="Arial" w:cs="Arial"/>
          <w:sz w:val="20"/>
          <w:szCs w:val="20"/>
          <w:lang w:val="en-US"/>
        </w:rPr>
        <w:t xml:space="preserve">Based on data analysis, it was found that the pattern of school refusal on students at Islamic boarding schools was in the form of not wanting to go to boarding school after returning home, not wanting to go to the Koran, leaving for the Koran with feelings of anxiety, </w:t>
      </w:r>
      <w:r>
        <w:rPr>
          <w:rFonts w:ascii="Arial" w:hAnsi="Arial" w:cs="Arial"/>
          <w:sz w:val="20"/>
          <w:szCs w:val="20"/>
          <w:lang w:val="en-US"/>
        </w:rPr>
        <w:t xml:space="preserve">a </w:t>
      </w:r>
      <w:r w:rsidRPr="00394A15">
        <w:rPr>
          <w:rFonts w:ascii="Arial" w:hAnsi="Arial" w:cs="Arial"/>
          <w:sz w:val="20"/>
          <w:szCs w:val="20"/>
          <w:lang w:val="en-US"/>
        </w:rPr>
        <w:t>physical illness that did not get well soon, dropping out. The trigger for school refusal on students at Islamic boarding schools, including the counselee had received bullying from his friends, the male counselee had been sentenced to stand in front of the female students</w:t>
      </w:r>
      <w:r>
        <w:rPr>
          <w:rFonts w:ascii="Arial" w:hAnsi="Arial" w:cs="Arial"/>
          <w:sz w:val="20"/>
          <w:szCs w:val="20"/>
          <w:lang w:val="en-US"/>
        </w:rPr>
        <w:t xml:space="preserve"> and</w:t>
      </w:r>
      <w:r w:rsidRPr="00394A15">
        <w:rPr>
          <w:rFonts w:ascii="Arial" w:hAnsi="Arial" w:cs="Arial"/>
          <w:sz w:val="20"/>
          <w:szCs w:val="20"/>
          <w:lang w:val="en-US"/>
        </w:rPr>
        <w:t>, had a traumatic experience while at the boarding school.</w:t>
      </w:r>
    </w:p>
    <w:p w:rsidR="00266743" w:rsidRDefault="00266743" w:rsidP="00266743">
      <w:pPr>
        <w:spacing w:line="360" w:lineRule="auto"/>
        <w:ind w:firstLine="720"/>
        <w:jc w:val="both"/>
        <w:rPr>
          <w:rFonts w:ascii="Arial" w:hAnsi="Arial" w:cs="Arial"/>
          <w:sz w:val="20"/>
          <w:szCs w:val="20"/>
          <w:lang w:val="en-US"/>
        </w:rPr>
      </w:pPr>
      <w:r w:rsidRPr="00266743">
        <w:rPr>
          <w:rFonts w:ascii="Arial" w:hAnsi="Arial" w:cs="Arial"/>
          <w:sz w:val="20"/>
          <w:szCs w:val="20"/>
        </w:rPr>
        <w:t>In visual analysis, the concern is the number of data points (scores) in each condition, the dependent variable to be changed, the level of stability and changes in the data level in a condition or between conditions, t</w:t>
      </w:r>
      <w:r w:rsidR="007B0619">
        <w:rPr>
          <w:rFonts w:ascii="Arial" w:hAnsi="Arial" w:cs="Arial"/>
          <w:sz w:val="20"/>
          <w:szCs w:val="20"/>
          <w:lang w:val="en-US"/>
        </w:rPr>
        <w:t xml:space="preserve">and </w:t>
      </w:r>
      <w:r w:rsidRPr="00266743">
        <w:rPr>
          <w:rFonts w:ascii="Arial" w:hAnsi="Arial" w:cs="Arial"/>
          <w:sz w:val="20"/>
          <w:szCs w:val="20"/>
        </w:rPr>
        <w:t>he direction of change in conditions or between conditions.</w:t>
      </w:r>
      <w:r>
        <w:rPr>
          <w:rFonts w:ascii="Arial" w:hAnsi="Arial" w:cs="Arial"/>
          <w:sz w:val="20"/>
          <w:szCs w:val="20"/>
          <w:lang w:val="en-US"/>
        </w:rPr>
        <w:t xml:space="preserve"> </w:t>
      </w:r>
      <w:r w:rsidRPr="00266743">
        <w:rPr>
          <w:rFonts w:ascii="Arial" w:hAnsi="Arial" w:cs="Arial"/>
          <w:sz w:val="20"/>
          <w:szCs w:val="20"/>
        </w:rPr>
        <w:t xml:space="preserve">For a complete </w:t>
      </w:r>
      <w:r w:rsidR="00A068CD">
        <w:rPr>
          <w:rFonts w:ascii="Arial" w:hAnsi="Arial" w:cs="Arial"/>
          <w:sz w:val="20"/>
          <w:szCs w:val="20"/>
          <w:lang w:val="en-US"/>
        </w:rPr>
        <w:t>graph</w:t>
      </w:r>
      <w:r w:rsidRPr="00266743">
        <w:rPr>
          <w:rFonts w:ascii="Arial" w:hAnsi="Arial" w:cs="Arial"/>
          <w:sz w:val="20"/>
          <w:szCs w:val="20"/>
        </w:rPr>
        <w:t xml:space="preserve"> of the measurement data trace using the SRC (School Refusal Check List) from 5 subjects, namely subject 1, subject 2, subject 3, subject 4 and subject 5, below is a graph depicting the trace data of the five subjects.</w:t>
      </w:r>
      <w:r>
        <w:rPr>
          <w:rFonts w:ascii="Arial" w:hAnsi="Arial" w:cs="Arial"/>
          <w:sz w:val="20"/>
          <w:szCs w:val="20"/>
          <w:lang w:val="en-US"/>
        </w:rPr>
        <w:t xml:space="preserve"> </w:t>
      </w:r>
    </w:p>
    <w:p w:rsidR="00A10707" w:rsidRDefault="00A10707" w:rsidP="00824953">
      <w:pPr>
        <w:spacing w:line="360" w:lineRule="auto"/>
        <w:rPr>
          <w:rFonts w:ascii="Times New Roman" w:hAnsi="Times New Roman" w:cs="Times New Roman"/>
          <w:sz w:val="24"/>
          <w:szCs w:val="24"/>
        </w:rPr>
      </w:pPr>
      <w:r>
        <w:rPr>
          <w:noProof/>
          <w:lang w:val="en-US"/>
        </w:rPr>
        <w:lastRenderedPageBreak/>
        <w:drawing>
          <wp:inline distT="0" distB="0" distL="0" distR="0" wp14:anchorId="5B1C4AA0" wp14:editId="6767B523">
            <wp:extent cx="5550467" cy="2929575"/>
            <wp:effectExtent l="0" t="0" r="1270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6743" w:rsidRDefault="00266743" w:rsidP="00A10707">
      <w:pPr>
        <w:spacing w:line="360" w:lineRule="auto"/>
        <w:ind w:firstLine="720"/>
        <w:jc w:val="both"/>
        <w:rPr>
          <w:rFonts w:ascii="Times New Roman" w:hAnsi="Times New Roman" w:cs="Times New Roman"/>
          <w:iCs/>
        </w:rPr>
      </w:pPr>
      <w:r w:rsidRPr="00266743">
        <w:rPr>
          <w:rFonts w:ascii="Times New Roman" w:hAnsi="Times New Roman" w:cs="Times New Roman"/>
          <w:iCs/>
        </w:rPr>
        <w:t>Graph 1 Summary of Data Traces of Subjects 1 to 5 using the SRC.</w:t>
      </w:r>
    </w:p>
    <w:p w:rsidR="00266743" w:rsidRDefault="00266743" w:rsidP="00DC71F1">
      <w:pPr>
        <w:spacing w:after="0" w:line="360" w:lineRule="auto"/>
        <w:ind w:firstLine="720"/>
        <w:jc w:val="both"/>
        <w:rPr>
          <w:rFonts w:ascii="Arial" w:hAnsi="Arial" w:cs="Arial"/>
          <w:sz w:val="20"/>
          <w:szCs w:val="20"/>
        </w:rPr>
      </w:pPr>
      <w:r w:rsidRPr="00266743">
        <w:rPr>
          <w:rFonts w:ascii="Arial" w:hAnsi="Arial" w:cs="Arial"/>
          <w:sz w:val="20"/>
          <w:szCs w:val="20"/>
        </w:rPr>
        <w:t>Based on graph 1, visual it shows that the five subjects at the time of the baseline measurement looked stable and high, after being given an intervention using ESC counseling showed a downward trend in scores, the declining scores began to appear on the measurement of treatment 1 and continued to fall in the next treatment. A significant decrease occurred after the fifth treatment, and this score was relatively stable until the third withdrawal. This also shows that there is a significant change from time to time during treatment, showing a significant decrease in school refusal behavior. Subject 5 showed a decrease in</w:t>
      </w:r>
      <w:r w:rsidR="007B0619">
        <w:rPr>
          <w:rFonts w:ascii="Arial" w:hAnsi="Arial" w:cs="Arial"/>
          <w:sz w:val="20"/>
          <w:szCs w:val="20"/>
          <w:lang w:val="en-US"/>
        </w:rPr>
        <w:t xml:space="preserve">the </w:t>
      </w:r>
      <w:r w:rsidRPr="00266743">
        <w:rPr>
          <w:rFonts w:ascii="Arial" w:hAnsi="Arial" w:cs="Arial"/>
          <w:sz w:val="20"/>
          <w:szCs w:val="20"/>
        </w:rPr>
        <w:t xml:space="preserve"> score, but still requires further treatment because </w:t>
      </w:r>
      <w:r>
        <w:rPr>
          <w:rFonts w:ascii="Arial" w:hAnsi="Arial" w:cs="Arial"/>
          <w:sz w:val="20"/>
          <w:szCs w:val="20"/>
          <w:lang w:val="en-US"/>
        </w:rPr>
        <w:t>to</w:t>
      </w:r>
      <w:r w:rsidRPr="00266743">
        <w:rPr>
          <w:rFonts w:ascii="Arial" w:hAnsi="Arial" w:cs="Arial"/>
          <w:sz w:val="20"/>
          <w:szCs w:val="20"/>
        </w:rPr>
        <w:t xml:space="preserve"> decrease the score even lower.</w:t>
      </w:r>
    </w:p>
    <w:p w:rsidR="00266743" w:rsidRPr="00266743" w:rsidRDefault="00266743" w:rsidP="00266743">
      <w:pPr>
        <w:spacing w:after="0" w:line="360" w:lineRule="auto"/>
        <w:jc w:val="both"/>
        <w:rPr>
          <w:rFonts w:ascii="Arial" w:hAnsi="Arial" w:cs="Arial"/>
          <w:b/>
          <w:sz w:val="20"/>
          <w:szCs w:val="20"/>
        </w:rPr>
      </w:pPr>
      <w:r w:rsidRPr="00266743">
        <w:rPr>
          <w:rFonts w:ascii="Arial" w:hAnsi="Arial" w:cs="Arial"/>
          <w:b/>
          <w:sz w:val="20"/>
          <w:szCs w:val="20"/>
        </w:rPr>
        <w:t>Statistic analysis</w:t>
      </w:r>
    </w:p>
    <w:p w:rsidR="00A10707" w:rsidRPr="00A10707" w:rsidRDefault="00266743" w:rsidP="00CC5AB2">
      <w:pPr>
        <w:spacing w:after="0" w:line="360" w:lineRule="auto"/>
        <w:ind w:firstLine="720"/>
        <w:jc w:val="both"/>
        <w:rPr>
          <w:rFonts w:ascii="Arial" w:hAnsi="Arial" w:cs="Arial"/>
          <w:i/>
          <w:sz w:val="20"/>
          <w:szCs w:val="20"/>
        </w:rPr>
      </w:pPr>
      <w:bookmarkStart w:id="0" w:name="_GoBack"/>
      <w:bookmarkEnd w:id="0"/>
      <w:r w:rsidRPr="00266743">
        <w:rPr>
          <w:rFonts w:ascii="Arial" w:hAnsi="Arial" w:cs="Arial"/>
          <w:sz w:val="20"/>
          <w:szCs w:val="20"/>
        </w:rPr>
        <w:t xml:space="preserve">The results of the intervention on school refusal students using ES counseling will be tested using the Non Parametric statistic The Wilcoxon Matched Pairs Signed Ranks Test (Siegel, 1956). </w:t>
      </w:r>
      <w:r w:rsidRPr="00266743">
        <w:rPr>
          <w:rFonts w:ascii="Arial" w:hAnsi="Arial" w:cs="Arial"/>
          <w:sz w:val="20"/>
          <w:szCs w:val="20"/>
        </w:rPr>
        <w:t>For the calculation of the sign test, the following table presents the analysis of school refusal scores for pre-test and post-test measurements with the SRC.</w:t>
      </w:r>
    </w:p>
    <w:p w:rsidR="00266743" w:rsidRDefault="00266743" w:rsidP="007D0519">
      <w:pPr>
        <w:pStyle w:val="Caption"/>
        <w:ind w:left="2127" w:hanging="1407"/>
        <w:jc w:val="both"/>
        <w:rPr>
          <w:rFonts w:ascii="Times New Roman" w:hAnsi="Times New Roman" w:cs="Times New Roman"/>
          <w:b/>
          <w:i w:val="0"/>
          <w:sz w:val="22"/>
          <w:szCs w:val="22"/>
        </w:rPr>
      </w:pPr>
    </w:p>
    <w:p w:rsidR="007D0519" w:rsidRPr="00266743" w:rsidRDefault="00266743" w:rsidP="00266743">
      <w:pPr>
        <w:pStyle w:val="Caption"/>
        <w:ind w:left="1560" w:hanging="840"/>
        <w:jc w:val="center"/>
        <w:rPr>
          <w:rFonts w:ascii="Arial" w:hAnsi="Arial" w:cs="Arial"/>
          <w:i w:val="0"/>
          <w:sz w:val="20"/>
          <w:szCs w:val="20"/>
        </w:rPr>
      </w:pPr>
      <w:r w:rsidRPr="00266743">
        <w:rPr>
          <w:rFonts w:ascii="Arial" w:hAnsi="Arial" w:cs="Arial"/>
          <w:i w:val="0"/>
          <w:sz w:val="20"/>
          <w:szCs w:val="20"/>
        </w:rPr>
        <w:t xml:space="preserve">Table 1. Analysis of Pretest and Posttest Measurement of School </w:t>
      </w:r>
      <w:r>
        <w:rPr>
          <w:rFonts w:ascii="Arial" w:hAnsi="Arial" w:cs="Arial"/>
          <w:i w:val="0"/>
          <w:sz w:val="20"/>
          <w:szCs w:val="20"/>
          <w:lang w:val="en-US"/>
        </w:rPr>
        <w:t>refusal</w:t>
      </w:r>
      <w:r w:rsidRPr="00266743">
        <w:rPr>
          <w:rFonts w:ascii="Arial" w:hAnsi="Arial" w:cs="Arial"/>
          <w:i w:val="0"/>
          <w:sz w:val="20"/>
          <w:szCs w:val="20"/>
        </w:rPr>
        <w:t xml:space="preserve"> using the School Refusal Check List (SRC)</w:t>
      </w:r>
    </w:p>
    <w:tbl>
      <w:tblPr>
        <w:tblStyle w:val="TableGrid"/>
        <w:tblW w:w="6804" w:type="dxa"/>
        <w:tblInd w:w="607" w:type="dxa"/>
        <w:tblLook w:val="04A0" w:firstRow="1" w:lastRow="0" w:firstColumn="1" w:lastColumn="0" w:noHBand="0" w:noVBand="1"/>
      </w:tblPr>
      <w:tblGrid>
        <w:gridCol w:w="561"/>
        <w:gridCol w:w="1114"/>
        <w:gridCol w:w="828"/>
        <w:gridCol w:w="831"/>
        <w:gridCol w:w="986"/>
        <w:gridCol w:w="1647"/>
        <w:gridCol w:w="837"/>
      </w:tblGrid>
      <w:tr w:rsidR="007D0519" w:rsidRPr="00D25EA1" w:rsidTr="00816FB2">
        <w:tc>
          <w:tcPr>
            <w:tcW w:w="567" w:type="dxa"/>
          </w:tcPr>
          <w:p w:rsidR="007D0519" w:rsidRPr="00D25EA1" w:rsidRDefault="007D0519" w:rsidP="00816FB2">
            <w:pPr>
              <w:jc w:val="center"/>
              <w:rPr>
                <w:rFonts w:ascii="Times New Roman" w:hAnsi="Times New Roman" w:cs="Times New Roman"/>
                <w:sz w:val="18"/>
                <w:szCs w:val="18"/>
              </w:rPr>
            </w:pPr>
            <w:r w:rsidRPr="00D25EA1">
              <w:rPr>
                <w:rFonts w:ascii="Times New Roman" w:hAnsi="Times New Roman" w:cs="Times New Roman"/>
                <w:sz w:val="18"/>
                <w:szCs w:val="18"/>
              </w:rPr>
              <w:t>No.</w:t>
            </w:r>
          </w:p>
        </w:tc>
        <w:tc>
          <w:tcPr>
            <w:tcW w:w="1134" w:type="dxa"/>
          </w:tcPr>
          <w:p w:rsidR="007D0519" w:rsidRPr="00D25EA1" w:rsidRDefault="00D25EA1" w:rsidP="00D25EA1">
            <w:pPr>
              <w:jc w:val="center"/>
              <w:rPr>
                <w:rFonts w:ascii="Times New Roman" w:hAnsi="Times New Roman" w:cs="Times New Roman"/>
                <w:sz w:val="18"/>
                <w:szCs w:val="18"/>
              </w:rPr>
            </w:pPr>
            <w:r w:rsidRPr="00D25EA1">
              <w:rPr>
                <w:rFonts w:ascii="Times New Roman" w:hAnsi="Times New Roman" w:cs="Times New Roman"/>
                <w:sz w:val="18"/>
                <w:szCs w:val="18"/>
                <w:lang w:val="en-US"/>
              </w:rPr>
              <w:t>Initial</w:t>
            </w:r>
          </w:p>
        </w:tc>
        <w:tc>
          <w:tcPr>
            <w:tcW w:w="850" w:type="dxa"/>
          </w:tcPr>
          <w:p w:rsidR="007D0519" w:rsidRPr="00D25EA1" w:rsidRDefault="007D0519" w:rsidP="00816FB2">
            <w:pPr>
              <w:jc w:val="center"/>
              <w:rPr>
                <w:rFonts w:ascii="Times New Roman" w:hAnsi="Times New Roman" w:cs="Times New Roman"/>
                <w:sz w:val="18"/>
                <w:szCs w:val="18"/>
                <w:lang w:val="en-US"/>
              </w:rPr>
            </w:pPr>
            <w:r w:rsidRPr="00D25EA1">
              <w:rPr>
                <w:rFonts w:ascii="Times New Roman" w:hAnsi="Times New Roman" w:cs="Times New Roman"/>
                <w:sz w:val="18"/>
                <w:szCs w:val="18"/>
              </w:rPr>
              <w:t>Pre</w:t>
            </w:r>
            <w:r w:rsidR="00D25EA1" w:rsidRPr="00D25EA1">
              <w:rPr>
                <w:rFonts w:ascii="Times New Roman" w:hAnsi="Times New Roman" w:cs="Times New Roman"/>
                <w:sz w:val="18"/>
                <w:szCs w:val="18"/>
                <w:lang w:val="en-US"/>
              </w:rPr>
              <w:t>-</w:t>
            </w:r>
            <w:r w:rsidRPr="00D25EA1">
              <w:rPr>
                <w:rFonts w:ascii="Times New Roman" w:hAnsi="Times New Roman" w:cs="Times New Roman"/>
                <w:sz w:val="18"/>
                <w:szCs w:val="18"/>
              </w:rPr>
              <w:t>tes</w:t>
            </w:r>
            <w:r w:rsidR="00D25EA1" w:rsidRPr="00D25EA1">
              <w:rPr>
                <w:rFonts w:ascii="Times New Roman" w:hAnsi="Times New Roman" w:cs="Times New Roman"/>
                <w:sz w:val="18"/>
                <w:szCs w:val="18"/>
                <w:lang w:val="en-US"/>
              </w:rPr>
              <w:t>t</w:t>
            </w:r>
          </w:p>
          <w:p w:rsidR="007D0519" w:rsidRPr="00D25EA1" w:rsidRDefault="007D0519" w:rsidP="00816FB2">
            <w:pPr>
              <w:jc w:val="center"/>
              <w:rPr>
                <w:rFonts w:ascii="Times New Roman" w:hAnsi="Times New Roman" w:cs="Times New Roman"/>
                <w:sz w:val="18"/>
                <w:szCs w:val="18"/>
              </w:rPr>
            </w:pPr>
            <w:r w:rsidRPr="00D25EA1">
              <w:rPr>
                <w:rFonts w:ascii="Times New Roman" w:hAnsi="Times New Roman" w:cs="Times New Roman"/>
                <w:sz w:val="18"/>
                <w:szCs w:val="18"/>
              </w:rPr>
              <w:t>(X</w:t>
            </w:r>
            <w:r w:rsidRPr="00D25EA1">
              <w:rPr>
                <w:rFonts w:ascii="Times New Roman" w:hAnsi="Times New Roman" w:cs="Times New Roman"/>
                <w:sz w:val="18"/>
                <w:szCs w:val="18"/>
                <w:vertAlign w:val="subscript"/>
              </w:rPr>
              <w:t>B</w:t>
            </w:r>
            <w:r w:rsidRPr="00D25EA1">
              <w:rPr>
                <w:rFonts w:ascii="Times New Roman" w:hAnsi="Times New Roman" w:cs="Times New Roman"/>
                <w:sz w:val="18"/>
                <w:szCs w:val="18"/>
              </w:rPr>
              <w:t>)</w:t>
            </w:r>
          </w:p>
        </w:tc>
        <w:tc>
          <w:tcPr>
            <w:tcW w:w="851" w:type="dxa"/>
          </w:tcPr>
          <w:p w:rsidR="007D0519" w:rsidRPr="00D25EA1" w:rsidRDefault="007D0519" w:rsidP="00816FB2">
            <w:pPr>
              <w:jc w:val="center"/>
              <w:rPr>
                <w:rFonts w:ascii="Times New Roman" w:hAnsi="Times New Roman" w:cs="Times New Roman"/>
                <w:sz w:val="18"/>
                <w:szCs w:val="18"/>
              </w:rPr>
            </w:pPr>
            <w:r w:rsidRPr="00D25EA1">
              <w:rPr>
                <w:rFonts w:ascii="Times New Roman" w:hAnsi="Times New Roman" w:cs="Times New Roman"/>
                <w:sz w:val="18"/>
                <w:szCs w:val="18"/>
              </w:rPr>
              <w:t>P</w:t>
            </w:r>
            <w:proofErr w:type="spellStart"/>
            <w:r w:rsidR="00D25EA1" w:rsidRPr="00D25EA1">
              <w:rPr>
                <w:rFonts w:ascii="Times New Roman" w:hAnsi="Times New Roman" w:cs="Times New Roman"/>
                <w:sz w:val="18"/>
                <w:szCs w:val="18"/>
                <w:lang w:val="en-US"/>
              </w:rPr>
              <w:t>ost</w:t>
            </w:r>
            <w:proofErr w:type="spellEnd"/>
            <w:r w:rsidR="00D25EA1" w:rsidRPr="00D25EA1">
              <w:rPr>
                <w:rFonts w:ascii="Times New Roman" w:hAnsi="Times New Roman" w:cs="Times New Roman"/>
                <w:sz w:val="18"/>
                <w:szCs w:val="18"/>
                <w:lang w:val="en-US"/>
              </w:rPr>
              <w:t>-</w:t>
            </w:r>
            <w:r w:rsidRPr="00D25EA1">
              <w:rPr>
                <w:rFonts w:ascii="Times New Roman" w:hAnsi="Times New Roman" w:cs="Times New Roman"/>
                <w:sz w:val="18"/>
                <w:szCs w:val="18"/>
              </w:rPr>
              <w:t>tes</w:t>
            </w:r>
          </w:p>
          <w:p w:rsidR="007D0519" w:rsidRPr="00D25EA1" w:rsidRDefault="007D0519" w:rsidP="00816FB2">
            <w:pPr>
              <w:jc w:val="center"/>
              <w:rPr>
                <w:rFonts w:ascii="Times New Roman" w:hAnsi="Times New Roman" w:cs="Times New Roman"/>
                <w:sz w:val="18"/>
                <w:szCs w:val="18"/>
              </w:rPr>
            </w:pPr>
            <w:r w:rsidRPr="00D25EA1">
              <w:rPr>
                <w:rFonts w:ascii="Times New Roman" w:hAnsi="Times New Roman" w:cs="Times New Roman"/>
                <w:sz w:val="18"/>
                <w:szCs w:val="18"/>
              </w:rPr>
              <w:t>(X</w:t>
            </w:r>
            <w:r w:rsidRPr="00D25EA1">
              <w:rPr>
                <w:rFonts w:ascii="Times New Roman" w:hAnsi="Times New Roman" w:cs="Times New Roman"/>
                <w:sz w:val="18"/>
                <w:szCs w:val="18"/>
                <w:vertAlign w:val="subscript"/>
              </w:rPr>
              <w:t>A</w:t>
            </w:r>
            <w:r w:rsidRPr="00D25EA1">
              <w:rPr>
                <w:rFonts w:ascii="Times New Roman" w:hAnsi="Times New Roman" w:cs="Times New Roman"/>
                <w:sz w:val="18"/>
                <w:szCs w:val="18"/>
              </w:rPr>
              <w:t>)</w:t>
            </w:r>
          </w:p>
        </w:tc>
        <w:tc>
          <w:tcPr>
            <w:tcW w:w="850" w:type="dxa"/>
          </w:tcPr>
          <w:p w:rsidR="007D0519" w:rsidRPr="00D25EA1" w:rsidRDefault="00D25EA1" w:rsidP="00816FB2">
            <w:pPr>
              <w:jc w:val="center"/>
              <w:rPr>
                <w:rFonts w:ascii="Times New Roman" w:hAnsi="Times New Roman" w:cs="Times New Roman"/>
                <w:sz w:val="18"/>
                <w:szCs w:val="18"/>
              </w:rPr>
            </w:pPr>
            <w:r w:rsidRPr="00D25EA1">
              <w:rPr>
                <w:rFonts w:ascii="Times New Roman" w:hAnsi="Times New Roman" w:cs="Times New Roman"/>
                <w:sz w:val="18"/>
                <w:szCs w:val="18"/>
              </w:rPr>
              <w:t>Difference</w:t>
            </w:r>
          </w:p>
        </w:tc>
        <w:tc>
          <w:tcPr>
            <w:tcW w:w="1701" w:type="dxa"/>
          </w:tcPr>
          <w:p w:rsidR="007D0519" w:rsidRPr="00D25EA1" w:rsidRDefault="00D25EA1" w:rsidP="00816FB2">
            <w:pPr>
              <w:jc w:val="center"/>
              <w:rPr>
                <w:rFonts w:ascii="Times New Roman" w:hAnsi="Times New Roman" w:cs="Times New Roman"/>
                <w:sz w:val="18"/>
                <w:szCs w:val="18"/>
              </w:rPr>
            </w:pPr>
            <w:r w:rsidRPr="00D25EA1">
              <w:rPr>
                <w:rFonts w:ascii="Times New Roman" w:hAnsi="Times New Roman" w:cs="Times New Roman"/>
                <w:sz w:val="18"/>
                <w:szCs w:val="18"/>
              </w:rPr>
              <w:t>Direction of Difference</w:t>
            </w:r>
          </w:p>
        </w:tc>
        <w:tc>
          <w:tcPr>
            <w:tcW w:w="851" w:type="dxa"/>
          </w:tcPr>
          <w:p w:rsidR="007D0519" w:rsidRPr="00D25EA1" w:rsidRDefault="007D0519" w:rsidP="00816FB2">
            <w:pPr>
              <w:jc w:val="center"/>
              <w:rPr>
                <w:rFonts w:ascii="Times New Roman" w:hAnsi="Times New Roman" w:cs="Times New Roman"/>
                <w:sz w:val="18"/>
                <w:szCs w:val="18"/>
              </w:rPr>
            </w:pPr>
            <w:r w:rsidRPr="00D25EA1">
              <w:rPr>
                <w:rFonts w:ascii="Times New Roman" w:hAnsi="Times New Roman" w:cs="Times New Roman"/>
                <w:sz w:val="18"/>
                <w:szCs w:val="18"/>
              </w:rPr>
              <w:t>Tanda</w:t>
            </w:r>
          </w:p>
        </w:tc>
      </w:tr>
      <w:tr w:rsidR="007D0519" w:rsidRPr="001D3A47" w:rsidTr="00816FB2">
        <w:tc>
          <w:tcPr>
            <w:tcW w:w="567"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1.</w:t>
            </w:r>
          </w:p>
        </w:tc>
        <w:tc>
          <w:tcPr>
            <w:tcW w:w="1134" w:type="dxa"/>
          </w:tcPr>
          <w:p w:rsidR="007D0519" w:rsidRPr="001D3A47" w:rsidRDefault="007D0519" w:rsidP="00266743">
            <w:pPr>
              <w:rPr>
                <w:rFonts w:ascii="Times New Roman" w:hAnsi="Times New Roman" w:cs="Times New Roman"/>
              </w:rPr>
            </w:pPr>
            <w:r>
              <w:rPr>
                <w:rFonts w:ascii="Times New Roman" w:hAnsi="Times New Roman" w:cs="Times New Roman"/>
              </w:rPr>
              <w:t>Sub</w:t>
            </w:r>
            <w:r w:rsidR="00266743">
              <w:rPr>
                <w:rFonts w:ascii="Times New Roman" w:hAnsi="Times New Roman" w:cs="Times New Roman"/>
                <w:lang w:val="en-US"/>
              </w:rPr>
              <w:t>j</w:t>
            </w:r>
            <w:r>
              <w:rPr>
                <w:rFonts w:ascii="Times New Roman" w:hAnsi="Times New Roman" w:cs="Times New Roman"/>
              </w:rPr>
              <w:t>e</w:t>
            </w:r>
            <w:proofErr w:type="spellStart"/>
            <w:r w:rsidR="00266743">
              <w:rPr>
                <w:rFonts w:ascii="Times New Roman" w:hAnsi="Times New Roman" w:cs="Times New Roman"/>
                <w:lang w:val="en-US"/>
              </w:rPr>
              <w:t>ct</w:t>
            </w:r>
            <w:proofErr w:type="spellEnd"/>
            <w:r>
              <w:rPr>
                <w:rFonts w:ascii="Times New Roman" w:hAnsi="Times New Roman" w:cs="Times New Roman"/>
              </w:rPr>
              <w:t xml:space="preserve"> 1</w:t>
            </w:r>
          </w:p>
        </w:tc>
        <w:tc>
          <w:tcPr>
            <w:tcW w:w="850"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16</w:t>
            </w:r>
          </w:p>
        </w:tc>
        <w:tc>
          <w:tcPr>
            <w:tcW w:w="851"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rsidR="007D0519" w:rsidRPr="002A463B" w:rsidRDefault="007D0519" w:rsidP="00816FB2">
            <w:pPr>
              <w:jc w:val="center"/>
              <w:rPr>
                <w:rFonts w:ascii="Times New Roman" w:hAnsi="Times New Roman" w:cs="Times New Roman"/>
                <w:sz w:val="20"/>
                <w:szCs w:val="20"/>
              </w:rPr>
            </w:pPr>
            <w:r>
              <w:rPr>
                <w:rFonts w:ascii="Times New Roman" w:hAnsi="Times New Roman" w:cs="Times New Roman"/>
                <w:sz w:val="20"/>
                <w:szCs w:val="20"/>
              </w:rPr>
              <w:t>14</w:t>
            </w:r>
          </w:p>
        </w:tc>
        <w:tc>
          <w:tcPr>
            <w:tcW w:w="1701"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X</w:t>
            </w:r>
            <w:r w:rsidRPr="005C6F0F">
              <w:rPr>
                <w:rFonts w:ascii="Times New Roman" w:hAnsi="Times New Roman" w:cs="Times New Roman"/>
                <w:sz w:val="16"/>
                <w:vertAlign w:val="subscript"/>
              </w:rPr>
              <w:t>B</w:t>
            </w:r>
            <w:r>
              <w:rPr>
                <w:rFonts w:ascii="Times New Roman" w:hAnsi="Times New Roman" w:cs="Times New Roman"/>
              </w:rPr>
              <w:t xml:space="preserve"> &lt; X</w:t>
            </w:r>
            <w:r>
              <w:rPr>
                <w:rFonts w:ascii="Times New Roman" w:hAnsi="Times New Roman" w:cs="Times New Roman"/>
                <w:sz w:val="16"/>
                <w:vertAlign w:val="subscript"/>
              </w:rPr>
              <w:t>A</w:t>
            </w:r>
          </w:p>
        </w:tc>
        <w:tc>
          <w:tcPr>
            <w:tcW w:w="851"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w:t>
            </w:r>
          </w:p>
        </w:tc>
      </w:tr>
      <w:tr w:rsidR="007D0519" w:rsidRPr="001D3A47" w:rsidTr="00816FB2">
        <w:tc>
          <w:tcPr>
            <w:tcW w:w="567"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2.</w:t>
            </w:r>
          </w:p>
        </w:tc>
        <w:tc>
          <w:tcPr>
            <w:tcW w:w="1134" w:type="dxa"/>
          </w:tcPr>
          <w:p w:rsidR="007D0519" w:rsidRPr="001D3A47" w:rsidRDefault="00266743" w:rsidP="00266743">
            <w:pPr>
              <w:rPr>
                <w:rFonts w:ascii="Times New Roman" w:hAnsi="Times New Roman" w:cs="Times New Roman"/>
              </w:rPr>
            </w:pPr>
            <w:r>
              <w:rPr>
                <w:rFonts w:ascii="Times New Roman" w:hAnsi="Times New Roman" w:cs="Times New Roman"/>
              </w:rPr>
              <w:t>Sub</w:t>
            </w:r>
            <w:r>
              <w:rPr>
                <w:rFonts w:ascii="Times New Roman" w:hAnsi="Times New Roman" w:cs="Times New Roman"/>
                <w:lang w:val="en-US"/>
              </w:rPr>
              <w:t>j</w:t>
            </w:r>
            <w:r>
              <w:rPr>
                <w:rFonts w:ascii="Times New Roman" w:hAnsi="Times New Roman" w:cs="Times New Roman"/>
              </w:rPr>
              <w:t>e</w:t>
            </w:r>
            <w:proofErr w:type="spellStart"/>
            <w:r>
              <w:rPr>
                <w:rFonts w:ascii="Times New Roman" w:hAnsi="Times New Roman" w:cs="Times New Roman"/>
                <w:lang w:val="en-US"/>
              </w:rPr>
              <w:t>ct</w:t>
            </w:r>
            <w:proofErr w:type="spellEnd"/>
            <w:r w:rsidR="007D0519">
              <w:rPr>
                <w:rFonts w:ascii="Times New Roman" w:hAnsi="Times New Roman" w:cs="Times New Roman"/>
              </w:rPr>
              <w:t xml:space="preserve"> 2</w:t>
            </w:r>
          </w:p>
        </w:tc>
        <w:tc>
          <w:tcPr>
            <w:tcW w:w="850"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16</w:t>
            </w:r>
          </w:p>
        </w:tc>
        <w:tc>
          <w:tcPr>
            <w:tcW w:w="851"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rsidR="007D0519" w:rsidRPr="002A463B" w:rsidRDefault="007D0519" w:rsidP="00816FB2">
            <w:pPr>
              <w:jc w:val="center"/>
              <w:rPr>
                <w:rFonts w:ascii="Times New Roman" w:hAnsi="Times New Roman" w:cs="Times New Roman"/>
                <w:sz w:val="20"/>
                <w:szCs w:val="20"/>
              </w:rPr>
            </w:pPr>
            <w:r>
              <w:rPr>
                <w:rFonts w:ascii="Times New Roman" w:hAnsi="Times New Roman" w:cs="Times New Roman"/>
                <w:sz w:val="20"/>
                <w:szCs w:val="20"/>
              </w:rPr>
              <w:t>14</w:t>
            </w:r>
          </w:p>
        </w:tc>
        <w:tc>
          <w:tcPr>
            <w:tcW w:w="1701"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X</w:t>
            </w:r>
            <w:r w:rsidRPr="005C6F0F">
              <w:rPr>
                <w:rFonts w:ascii="Times New Roman" w:hAnsi="Times New Roman" w:cs="Times New Roman"/>
                <w:sz w:val="16"/>
                <w:vertAlign w:val="subscript"/>
              </w:rPr>
              <w:t>B</w:t>
            </w:r>
            <w:r>
              <w:rPr>
                <w:rFonts w:ascii="Times New Roman" w:hAnsi="Times New Roman" w:cs="Times New Roman"/>
              </w:rPr>
              <w:t xml:space="preserve"> &lt; X</w:t>
            </w:r>
            <w:r>
              <w:rPr>
                <w:rFonts w:ascii="Times New Roman" w:hAnsi="Times New Roman" w:cs="Times New Roman"/>
                <w:sz w:val="16"/>
                <w:vertAlign w:val="subscript"/>
              </w:rPr>
              <w:t>A</w:t>
            </w:r>
          </w:p>
        </w:tc>
        <w:tc>
          <w:tcPr>
            <w:tcW w:w="851"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w:t>
            </w:r>
          </w:p>
        </w:tc>
      </w:tr>
      <w:tr w:rsidR="007D0519" w:rsidRPr="001D3A47" w:rsidTr="00816FB2">
        <w:tc>
          <w:tcPr>
            <w:tcW w:w="567"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3.</w:t>
            </w:r>
          </w:p>
        </w:tc>
        <w:tc>
          <w:tcPr>
            <w:tcW w:w="1134" w:type="dxa"/>
          </w:tcPr>
          <w:p w:rsidR="007D0519" w:rsidRPr="001D3A47" w:rsidRDefault="00266743" w:rsidP="00266743">
            <w:pPr>
              <w:rPr>
                <w:rFonts w:ascii="Times New Roman" w:hAnsi="Times New Roman" w:cs="Times New Roman"/>
              </w:rPr>
            </w:pPr>
            <w:r w:rsidRPr="00266743">
              <w:rPr>
                <w:rFonts w:ascii="Times New Roman" w:hAnsi="Times New Roman" w:cs="Times New Roman"/>
              </w:rPr>
              <w:t>Subject</w:t>
            </w:r>
            <w:r w:rsidR="007D0519">
              <w:rPr>
                <w:rFonts w:ascii="Times New Roman" w:hAnsi="Times New Roman" w:cs="Times New Roman"/>
              </w:rPr>
              <w:t xml:space="preserve"> 3</w:t>
            </w:r>
          </w:p>
        </w:tc>
        <w:tc>
          <w:tcPr>
            <w:tcW w:w="850"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14</w:t>
            </w:r>
          </w:p>
        </w:tc>
        <w:tc>
          <w:tcPr>
            <w:tcW w:w="851"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tcPr>
          <w:p w:rsidR="007D0519" w:rsidRPr="002A463B" w:rsidRDefault="007D0519" w:rsidP="00816FB2">
            <w:pPr>
              <w:jc w:val="center"/>
              <w:rPr>
                <w:rFonts w:ascii="Times New Roman" w:hAnsi="Times New Roman" w:cs="Times New Roman"/>
                <w:sz w:val="20"/>
                <w:szCs w:val="20"/>
              </w:rPr>
            </w:pPr>
            <w:r>
              <w:rPr>
                <w:rFonts w:ascii="Times New Roman" w:hAnsi="Times New Roman" w:cs="Times New Roman"/>
                <w:sz w:val="20"/>
                <w:szCs w:val="20"/>
              </w:rPr>
              <w:t>11</w:t>
            </w:r>
          </w:p>
        </w:tc>
        <w:tc>
          <w:tcPr>
            <w:tcW w:w="1701" w:type="dxa"/>
          </w:tcPr>
          <w:p w:rsidR="007D0519" w:rsidRPr="001D3A47" w:rsidRDefault="007D0519" w:rsidP="00816FB2">
            <w:pPr>
              <w:jc w:val="center"/>
              <w:rPr>
                <w:rFonts w:ascii="Times New Roman" w:hAnsi="Times New Roman" w:cs="Times New Roman"/>
              </w:rPr>
            </w:pPr>
            <w:r w:rsidRPr="00BC3254">
              <w:rPr>
                <w:rFonts w:ascii="Times New Roman" w:hAnsi="Times New Roman" w:cs="Times New Roman"/>
              </w:rPr>
              <w:t>X</w:t>
            </w:r>
            <w:r w:rsidRPr="00BC3254">
              <w:rPr>
                <w:rFonts w:ascii="Times New Roman" w:hAnsi="Times New Roman" w:cs="Times New Roman"/>
                <w:vertAlign w:val="subscript"/>
              </w:rPr>
              <w:t>B</w:t>
            </w:r>
            <w:r w:rsidRPr="00BC3254">
              <w:rPr>
                <w:rFonts w:ascii="Times New Roman" w:hAnsi="Times New Roman" w:cs="Times New Roman"/>
              </w:rPr>
              <w:t xml:space="preserve"> &lt; X</w:t>
            </w:r>
            <w:r w:rsidRPr="00BC3254">
              <w:rPr>
                <w:rFonts w:ascii="Times New Roman" w:hAnsi="Times New Roman" w:cs="Times New Roman"/>
                <w:vertAlign w:val="subscript"/>
              </w:rPr>
              <w:t>A</w:t>
            </w:r>
          </w:p>
        </w:tc>
        <w:tc>
          <w:tcPr>
            <w:tcW w:w="851"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w:t>
            </w:r>
          </w:p>
        </w:tc>
      </w:tr>
      <w:tr w:rsidR="007D0519" w:rsidRPr="001D3A47" w:rsidTr="00816FB2">
        <w:tc>
          <w:tcPr>
            <w:tcW w:w="567"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4.</w:t>
            </w:r>
          </w:p>
        </w:tc>
        <w:tc>
          <w:tcPr>
            <w:tcW w:w="1134" w:type="dxa"/>
          </w:tcPr>
          <w:p w:rsidR="007D0519" w:rsidRPr="001D3A47" w:rsidRDefault="00266743" w:rsidP="00816FB2">
            <w:pPr>
              <w:rPr>
                <w:rFonts w:ascii="Times New Roman" w:hAnsi="Times New Roman" w:cs="Times New Roman"/>
              </w:rPr>
            </w:pPr>
            <w:r w:rsidRPr="00266743">
              <w:rPr>
                <w:rFonts w:ascii="Times New Roman" w:hAnsi="Times New Roman" w:cs="Times New Roman"/>
              </w:rPr>
              <w:t>Subject</w:t>
            </w:r>
            <w:r w:rsidR="007D0519">
              <w:rPr>
                <w:rFonts w:ascii="Times New Roman" w:hAnsi="Times New Roman" w:cs="Times New Roman"/>
              </w:rPr>
              <w:t xml:space="preserve"> 4</w:t>
            </w:r>
          </w:p>
        </w:tc>
        <w:tc>
          <w:tcPr>
            <w:tcW w:w="850"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15</w:t>
            </w:r>
          </w:p>
        </w:tc>
        <w:tc>
          <w:tcPr>
            <w:tcW w:w="851"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tcPr>
          <w:p w:rsidR="007D0519" w:rsidRPr="002A463B" w:rsidRDefault="007D0519" w:rsidP="00816FB2">
            <w:pPr>
              <w:jc w:val="center"/>
              <w:rPr>
                <w:rFonts w:ascii="Times New Roman" w:hAnsi="Times New Roman" w:cs="Times New Roman"/>
                <w:sz w:val="20"/>
                <w:szCs w:val="20"/>
              </w:rPr>
            </w:pPr>
            <w:r>
              <w:rPr>
                <w:rFonts w:ascii="Times New Roman" w:hAnsi="Times New Roman" w:cs="Times New Roman"/>
                <w:sz w:val="20"/>
                <w:szCs w:val="20"/>
              </w:rPr>
              <w:t>13</w:t>
            </w:r>
          </w:p>
        </w:tc>
        <w:tc>
          <w:tcPr>
            <w:tcW w:w="1701"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X</w:t>
            </w:r>
            <w:r w:rsidRPr="005C6F0F">
              <w:rPr>
                <w:rFonts w:ascii="Times New Roman" w:hAnsi="Times New Roman" w:cs="Times New Roman"/>
                <w:sz w:val="16"/>
                <w:vertAlign w:val="subscript"/>
              </w:rPr>
              <w:t>B</w:t>
            </w:r>
            <w:r>
              <w:rPr>
                <w:rFonts w:ascii="Times New Roman" w:hAnsi="Times New Roman" w:cs="Times New Roman"/>
              </w:rPr>
              <w:t xml:space="preserve"> &lt; X</w:t>
            </w:r>
            <w:r>
              <w:rPr>
                <w:rFonts w:ascii="Times New Roman" w:hAnsi="Times New Roman" w:cs="Times New Roman"/>
                <w:sz w:val="16"/>
                <w:vertAlign w:val="subscript"/>
              </w:rPr>
              <w:t>A</w:t>
            </w:r>
          </w:p>
        </w:tc>
        <w:tc>
          <w:tcPr>
            <w:tcW w:w="851"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w:t>
            </w:r>
          </w:p>
        </w:tc>
      </w:tr>
      <w:tr w:rsidR="007D0519" w:rsidRPr="001D3A47" w:rsidTr="00816FB2">
        <w:tc>
          <w:tcPr>
            <w:tcW w:w="567"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5.</w:t>
            </w:r>
          </w:p>
        </w:tc>
        <w:tc>
          <w:tcPr>
            <w:tcW w:w="1134" w:type="dxa"/>
          </w:tcPr>
          <w:p w:rsidR="007D0519" w:rsidRPr="001D3A47" w:rsidRDefault="00266743" w:rsidP="00816FB2">
            <w:pPr>
              <w:rPr>
                <w:rFonts w:ascii="Times New Roman" w:hAnsi="Times New Roman" w:cs="Times New Roman"/>
              </w:rPr>
            </w:pPr>
            <w:r w:rsidRPr="00266743">
              <w:rPr>
                <w:rFonts w:ascii="Times New Roman" w:hAnsi="Times New Roman" w:cs="Times New Roman"/>
              </w:rPr>
              <w:t>Subject</w:t>
            </w:r>
            <w:r w:rsidR="007D0519">
              <w:rPr>
                <w:rFonts w:ascii="Times New Roman" w:hAnsi="Times New Roman" w:cs="Times New Roman"/>
              </w:rPr>
              <w:t xml:space="preserve"> 5</w:t>
            </w:r>
          </w:p>
        </w:tc>
        <w:tc>
          <w:tcPr>
            <w:tcW w:w="850"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15</w:t>
            </w:r>
          </w:p>
        </w:tc>
        <w:tc>
          <w:tcPr>
            <w:tcW w:w="851" w:type="dxa"/>
          </w:tcPr>
          <w:p w:rsidR="007D0519" w:rsidRPr="00612566" w:rsidRDefault="007D0519" w:rsidP="00816FB2">
            <w:pPr>
              <w:jc w:val="center"/>
              <w:rPr>
                <w:rFonts w:ascii="Times New Roman" w:hAnsi="Times New Roman" w:cs="Times New Roman"/>
                <w:sz w:val="20"/>
                <w:szCs w:val="20"/>
              </w:rPr>
            </w:pPr>
            <w:r>
              <w:rPr>
                <w:rFonts w:ascii="Times New Roman" w:hAnsi="Times New Roman" w:cs="Times New Roman"/>
                <w:sz w:val="20"/>
                <w:szCs w:val="20"/>
              </w:rPr>
              <w:t>6</w:t>
            </w:r>
          </w:p>
        </w:tc>
        <w:tc>
          <w:tcPr>
            <w:tcW w:w="850" w:type="dxa"/>
          </w:tcPr>
          <w:p w:rsidR="007D0519" w:rsidRPr="002A463B" w:rsidRDefault="007D0519" w:rsidP="00816FB2">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X</w:t>
            </w:r>
            <w:r w:rsidRPr="005C6F0F">
              <w:rPr>
                <w:rFonts w:ascii="Times New Roman" w:hAnsi="Times New Roman" w:cs="Times New Roman"/>
                <w:sz w:val="16"/>
                <w:vertAlign w:val="subscript"/>
              </w:rPr>
              <w:t>B</w:t>
            </w:r>
            <w:r>
              <w:rPr>
                <w:rFonts w:ascii="Times New Roman" w:hAnsi="Times New Roman" w:cs="Times New Roman"/>
              </w:rPr>
              <w:t xml:space="preserve"> &lt; X</w:t>
            </w:r>
            <w:r>
              <w:rPr>
                <w:rFonts w:ascii="Times New Roman" w:hAnsi="Times New Roman" w:cs="Times New Roman"/>
                <w:sz w:val="16"/>
                <w:vertAlign w:val="subscript"/>
              </w:rPr>
              <w:t>A</w:t>
            </w:r>
          </w:p>
        </w:tc>
        <w:tc>
          <w:tcPr>
            <w:tcW w:w="851" w:type="dxa"/>
          </w:tcPr>
          <w:p w:rsidR="007D0519" w:rsidRPr="001D3A47" w:rsidRDefault="007D0519" w:rsidP="00816FB2">
            <w:pPr>
              <w:jc w:val="center"/>
              <w:rPr>
                <w:rFonts w:ascii="Times New Roman" w:hAnsi="Times New Roman" w:cs="Times New Roman"/>
              </w:rPr>
            </w:pPr>
            <w:r>
              <w:rPr>
                <w:rFonts w:ascii="Times New Roman" w:hAnsi="Times New Roman" w:cs="Times New Roman"/>
              </w:rPr>
              <w:t>-</w:t>
            </w:r>
          </w:p>
        </w:tc>
      </w:tr>
      <w:tr w:rsidR="007D0519" w:rsidRPr="001D3A47" w:rsidTr="00816FB2">
        <w:tc>
          <w:tcPr>
            <w:tcW w:w="567" w:type="dxa"/>
          </w:tcPr>
          <w:p w:rsidR="007D0519" w:rsidRDefault="007D0519" w:rsidP="00816FB2">
            <w:pPr>
              <w:jc w:val="center"/>
              <w:rPr>
                <w:rFonts w:ascii="Times New Roman" w:hAnsi="Times New Roman" w:cs="Times New Roman"/>
              </w:rPr>
            </w:pPr>
          </w:p>
        </w:tc>
        <w:tc>
          <w:tcPr>
            <w:tcW w:w="1134" w:type="dxa"/>
          </w:tcPr>
          <w:p w:rsidR="007D0519" w:rsidRPr="006763F2" w:rsidRDefault="007D0519" w:rsidP="00816FB2">
            <w:pPr>
              <w:rPr>
                <w:rFonts w:ascii="Times New Roman" w:hAnsi="Times New Roman" w:cs="Times New Roman"/>
                <w:i/>
              </w:rPr>
            </w:pPr>
            <w:r w:rsidRPr="006763F2">
              <w:rPr>
                <w:rFonts w:ascii="Times New Roman" w:hAnsi="Times New Roman" w:cs="Times New Roman"/>
                <w:i/>
              </w:rPr>
              <w:t>Mean</w:t>
            </w:r>
          </w:p>
        </w:tc>
        <w:tc>
          <w:tcPr>
            <w:tcW w:w="850" w:type="dxa"/>
          </w:tcPr>
          <w:p w:rsidR="007D0519" w:rsidRPr="00B13B3E" w:rsidRDefault="007D0519" w:rsidP="00816FB2">
            <w:pPr>
              <w:jc w:val="center"/>
              <w:rPr>
                <w:rFonts w:ascii="Times New Roman" w:hAnsi="Times New Roman" w:cs="Times New Roman"/>
                <w:sz w:val="20"/>
                <w:szCs w:val="20"/>
              </w:rPr>
            </w:pPr>
            <w:r w:rsidRPr="00B13B3E">
              <w:rPr>
                <w:rFonts w:ascii="Times New Roman" w:hAnsi="Times New Roman" w:cs="Times New Roman"/>
                <w:sz w:val="20"/>
                <w:szCs w:val="20"/>
              </w:rPr>
              <w:t>1</w:t>
            </w:r>
            <w:r>
              <w:rPr>
                <w:rFonts w:ascii="Times New Roman" w:hAnsi="Times New Roman" w:cs="Times New Roman"/>
                <w:sz w:val="20"/>
                <w:szCs w:val="20"/>
              </w:rPr>
              <w:t>5</w:t>
            </w:r>
            <w:r w:rsidRPr="00B13B3E">
              <w:rPr>
                <w:rFonts w:ascii="Times New Roman" w:hAnsi="Times New Roman" w:cs="Times New Roman"/>
                <w:sz w:val="20"/>
                <w:szCs w:val="20"/>
              </w:rPr>
              <w:t>,2</w:t>
            </w:r>
          </w:p>
        </w:tc>
        <w:tc>
          <w:tcPr>
            <w:tcW w:w="851" w:type="dxa"/>
          </w:tcPr>
          <w:p w:rsidR="007D0519" w:rsidRPr="00B13B3E" w:rsidRDefault="007D0519" w:rsidP="00816FB2">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tcPr>
          <w:p w:rsidR="007D0519" w:rsidRPr="002A463B" w:rsidRDefault="007D0519" w:rsidP="00816FB2">
            <w:pPr>
              <w:jc w:val="center"/>
              <w:rPr>
                <w:rFonts w:ascii="Times New Roman" w:hAnsi="Times New Roman" w:cs="Times New Roman"/>
              </w:rPr>
            </w:pPr>
            <w:r>
              <w:rPr>
                <w:rFonts w:ascii="Times New Roman" w:hAnsi="Times New Roman" w:cs="Times New Roman"/>
              </w:rPr>
              <w:t>1</w:t>
            </w:r>
            <w:r w:rsidRPr="00B13B3E">
              <w:rPr>
                <w:rFonts w:ascii="Times New Roman" w:hAnsi="Times New Roman" w:cs="Times New Roman"/>
              </w:rPr>
              <w:t>2,2</w:t>
            </w:r>
          </w:p>
        </w:tc>
        <w:tc>
          <w:tcPr>
            <w:tcW w:w="1701" w:type="dxa"/>
          </w:tcPr>
          <w:p w:rsidR="007D0519" w:rsidRDefault="007D0519" w:rsidP="00816FB2">
            <w:pPr>
              <w:jc w:val="center"/>
              <w:rPr>
                <w:rFonts w:ascii="Times New Roman" w:hAnsi="Times New Roman" w:cs="Times New Roman"/>
              </w:rPr>
            </w:pPr>
          </w:p>
        </w:tc>
        <w:tc>
          <w:tcPr>
            <w:tcW w:w="851" w:type="dxa"/>
          </w:tcPr>
          <w:p w:rsidR="007D0519" w:rsidRDefault="007D0519" w:rsidP="00816FB2">
            <w:pPr>
              <w:jc w:val="center"/>
              <w:rPr>
                <w:rFonts w:ascii="Times New Roman" w:hAnsi="Times New Roman" w:cs="Times New Roman"/>
              </w:rPr>
            </w:pPr>
            <w:r>
              <w:rPr>
                <w:rFonts w:ascii="Times New Roman" w:hAnsi="Times New Roman" w:cs="Times New Roman"/>
              </w:rPr>
              <w:t>x=0</w:t>
            </w:r>
          </w:p>
        </w:tc>
      </w:tr>
    </w:tbl>
    <w:p w:rsidR="007D0519" w:rsidRDefault="007D0519" w:rsidP="007D0519">
      <w:pPr>
        <w:jc w:val="both"/>
      </w:pPr>
    </w:p>
    <w:p w:rsidR="00266743" w:rsidRPr="00266743" w:rsidRDefault="00266743" w:rsidP="00DC71F1">
      <w:pPr>
        <w:spacing w:after="0" w:line="360" w:lineRule="auto"/>
        <w:ind w:firstLine="720"/>
        <w:jc w:val="both"/>
        <w:rPr>
          <w:rFonts w:ascii="Arial" w:hAnsi="Arial" w:cs="Arial"/>
          <w:sz w:val="20"/>
          <w:szCs w:val="20"/>
        </w:rPr>
      </w:pPr>
      <w:r w:rsidRPr="00266743">
        <w:rPr>
          <w:rFonts w:ascii="Arial" w:hAnsi="Arial" w:cs="Arial"/>
          <w:sz w:val="20"/>
          <w:szCs w:val="20"/>
        </w:rPr>
        <w:lastRenderedPageBreak/>
        <w:t xml:space="preserve">Based on table 1 above, it is known that the number of negative signs (-) is 5 which acts as N (the number of pairs showing differences) and x (the number of fewer signs) is 0. By looking at the binomial table with the provisions of N = 5 and x = 0 (z), then obtained (possible price below H0 = 0.0313. If the determination of (error level) of 5% is 0.05, it can be concluded that the price is 0.0313 &lt;0.05. Thus H0 is rejected and Ha is accepted, so the hypothesis that reads there is a difference between the school strike pretest score and the school strike </w:t>
      </w:r>
      <w:r>
        <w:rPr>
          <w:rFonts w:ascii="Arial" w:hAnsi="Arial" w:cs="Arial"/>
          <w:sz w:val="20"/>
          <w:szCs w:val="20"/>
          <w:lang w:val="en-US"/>
        </w:rPr>
        <w:t>post-test</w:t>
      </w:r>
      <w:r w:rsidRPr="00266743">
        <w:rPr>
          <w:rFonts w:ascii="Arial" w:hAnsi="Arial" w:cs="Arial"/>
          <w:sz w:val="20"/>
          <w:szCs w:val="20"/>
        </w:rPr>
        <w:t xml:space="preserve"> score By looking at the pretest average of 15.2 and the </w:t>
      </w:r>
      <w:r>
        <w:rPr>
          <w:rFonts w:ascii="Arial" w:hAnsi="Arial" w:cs="Arial"/>
          <w:sz w:val="20"/>
          <w:szCs w:val="20"/>
          <w:lang w:val="en-US"/>
        </w:rPr>
        <w:t>post-test</w:t>
      </w:r>
      <w:r w:rsidRPr="00266743">
        <w:rPr>
          <w:rFonts w:ascii="Arial" w:hAnsi="Arial" w:cs="Arial"/>
          <w:sz w:val="20"/>
          <w:szCs w:val="20"/>
        </w:rPr>
        <w:t xml:space="preserve"> average of 3, and the average difference between the pretest and posttest of 12.2, it can be said that ES counseling can significantly reduce school strike scores.</w:t>
      </w:r>
    </w:p>
    <w:p w:rsidR="00A10707" w:rsidRPr="00266743" w:rsidRDefault="00266743" w:rsidP="00DC71F1">
      <w:pPr>
        <w:spacing w:after="0" w:line="360" w:lineRule="auto"/>
        <w:ind w:firstLine="720"/>
        <w:jc w:val="both"/>
        <w:rPr>
          <w:rFonts w:ascii="Arial" w:hAnsi="Arial" w:cs="Arial"/>
          <w:b/>
          <w:sz w:val="20"/>
          <w:szCs w:val="20"/>
        </w:rPr>
      </w:pPr>
      <w:r w:rsidRPr="00266743">
        <w:rPr>
          <w:rFonts w:ascii="Arial" w:hAnsi="Arial" w:cs="Arial"/>
          <w:sz w:val="20"/>
          <w:szCs w:val="20"/>
        </w:rPr>
        <w:t>Based on the analysis of the data above, it can be said that the hypothesis proposed in this study which reads "ES counseling can reduce school refusal scores for students at Islamic boarding schools" can be accepted.</w:t>
      </w:r>
    </w:p>
    <w:p w:rsidR="00DC71F1" w:rsidRDefault="00DC71F1" w:rsidP="00A10707">
      <w:pPr>
        <w:rPr>
          <w:rFonts w:ascii="Arial" w:hAnsi="Arial" w:cs="Arial"/>
          <w:b/>
          <w:sz w:val="20"/>
          <w:szCs w:val="20"/>
          <w:lang w:val="en-US"/>
        </w:rPr>
      </w:pPr>
    </w:p>
    <w:p w:rsidR="00A10707" w:rsidRPr="00C430D4" w:rsidRDefault="00C430D4" w:rsidP="00A10707">
      <w:pPr>
        <w:rPr>
          <w:rFonts w:ascii="Arial" w:hAnsi="Arial" w:cs="Arial"/>
          <w:b/>
          <w:sz w:val="20"/>
          <w:szCs w:val="20"/>
          <w:lang w:val="en-US"/>
        </w:rPr>
      </w:pPr>
      <w:r w:rsidRPr="00C430D4">
        <w:rPr>
          <w:rFonts w:ascii="Arial" w:hAnsi="Arial" w:cs="Arial"/>
          <w:b/>
          <w:sz w:val="20"/>
          <w:szCs w:val="20"/>
          <w:lang w:val="en-US"/>
        </w:rPr>
        <w:t>Discussion</w:t>
      </w:r>
    </w:p>
    <w:p w:rsidR="00A72C2E" w:rsidRDefault="00A72C2E" w:rsidP="00394A15">
      <w:pPr>
        <w:spacing w:after="0" w:line="360" w:lineRule="auto"/>
        <w:ind w:firstLine="720"/>
        <w:jc w:val="both"/>
        <w:rPr>
          <w:rFonts w:ascii="Arial" w:hAnsi="Arial" w:cs="Arial"/>
          <w:sz w:val="20"/>
          <w:szCs w:val="20"/>
          <w:lang w:val="en-US"/>
        </w:rPr>
      </w:pPr>
      <w:r w:rsidRPr="00A72C2E">
        <w:rPr>
          <w:rFonts w:ascii="Arial" w:hAnsi="Arial" w:cs="Arial"/>
          <w:sz w:val="20"/>
          <w:szCs w:val="20"/>
          <w:lang w:val="en-US"/>
        </w:rPr>
        <w:t xml:space="preserve">The pattern of school refusal and </w:t>
      </w:r>
      <w:proofErr w:type="gramStart"/>
      <w:r w:rsidRPr="00A72C2E">
        <w:rPr>
          <w:rFonts w:ascii="Arial" w:hAnsi="Arial" w:cs="Arial"/>
          <w:sz w:val="20"/>
          <w:szCs w:val="20"/>
          <w:lang w:val="en-US"/>
        </w:rPr>
        <w:t>The</w:t>
      </w:r>
      <w:proofErr w:type="gramEnd"/>
      <w:r w:rsidRPr="00A72C2E">
        <w:rPr>
          <w:rFonts w:ascii="Arial" w:hAnsi="Arial" w:cs="Arial"/>
          <w:sz w:val="20"/>
          <w:szCs w:val="20"/>
          <w:lang w:val="en-US"/>
        </w:rPr>
        <w:t xml:space="preserve"> trigger for school refusal on students at Islamic boarding schools is in line with the opinion of experts, which state that many of the children who experience school refusal have anxiety, phobic disorders, bullying and have had traumatic experiences.</w:t>
      </w:r>
    </w:p>
    <w:p w:rsidR="00C430D4" w:rsidRPr="00C430D4" w:rsidRDefault="00C430D4" w:rsidP="00394A15">
      <w:pPr>
        <w:spacing w:after="0" w:line="360" w:lineRule="auto"/>
        <w:ind w:firstLine="720"/>
        <w:jc w:val="both"/>
        <w:rPr>
          <w:rFonts w:ascii="Arial" w:hAnsi="Arial" w:cs="Arial"/>
          <w:sz w:val="20"/>
          <w:szCs w:val="20"/>
        </w:rPr>
      </w:pPr>
      <w:r w:rsidRPr="00C430D4">
        <w:rPr>
          <w:rFonts w:ascii="Arial" w:hAnsi="Arial" w:cs="Arial"/>
          <w:sz w:val="20"/>
          <w:szCs w:val="20"/>
        </w:rPr>
        <w:t>E</w:t>
      </w:r>
      <w:r w:rsidR="00DC71F1">
        <w:rPr>
          <w:rFonts w:ascii="Arial" w:hAnsi="Arial" w:cs="Arial"/>
          <w:sz w:val="20"/>
          <w:szCs w:val="20"/>
          <w:lang w:val="en-US"/>
        </w:rPr>
        <w:t xml:space="preserve">go </w:t>
      </w:r>
      <w:r w:rsidRPr="00C430D4">
        <w:rPr>
          <w:rFonts w:ascii="Arial" w:hAnsi="Arial" w:cs="Arial"/>
          <w:sz w:val="20"/>
          <w:szCs w:val="20"/>
        </w:rPr>
        <w:t>S</w:t>
      </w:r>
      <w:proofErr w:type="spellStart"/>
      <w:r w:rsidR="00DC71F1">
        <w:rPr>
          <w:rFonts w:ascii="Arial" w:hAnsi="Arial" w:cs="Arial"/>
          <w:sz w:val="20"/>
          <w:szCs w:val="20"/>
          <w:lang w:val="en-US"/>
        </w:rPr>
        <w:t>tate</w:t>
      </w:r>
      <w:proofErr w:type="spellEnd"/>
      <w:r w:rsidRPr="00C430D4">
        <w:rPr>
          <w:rFonts w:ascii="Arial" w:hAnsi="Arial" w:cs="Arial"/>
          <w:sz w:val="20"/>
          <w:szCs w:val="20"/>
        </w:rPr>
        <w:t xml:space="preserve"> counseling can significantly reduce scores for students at Islamic boarding schools triggered by traumatic events. This is evidenced by the results of statistical calculations with a sign test showing that N = 5 and x = 0 (z), then is obtained (possibly the price is below H0 = 0.0313. If in the determination of (error level) of 5%, it is 0.05 it can be concluded that the price is 0.0313 &lt;0.05. This means that H0 is rejected and Ha is accepted, so the hypothesis that reads there is a difference between the pretest school refusal score and the posttest school refusal score by looking at the pretest mean of </w:t>
      </w:r>
      <w:r w:rsidR="00D25EA1" w:rsidRPr="00D25EA1">
        <w:rPr>
          <w:rFonts w:ascii="Arial" w:hAnsi="Arial" w:cs="Arial"/>
          <w:sz w:val="20"/>
          <w:szCs w:val="20"/>
        </w:rPr>
        <w:t xml:space="preserve">15.2 </w:t>
      </w:r>
      <w:r w:rsidRPr="00C430D4">
        <w:rPr>
          <w:rFonts w:ascii="Arial" w:hAnsi="Arial" w:cs="Arial"/>
          <w:sz w:val="20"/>
          <w:szCs w:val="20"/>
        </w:rPr>
        <w:t xml:space="preserve"> and the post</w:t>
      </w:r>
      <w:r w:rsidR="007B0619">
        <w:rPr>
          <w:rFonts w:ascii="Arial" w:hAnsi="Arial" w:cs="Arial"/>
          <w:sz w:val="20"/>
          <w:szCs w:val="20"/>
          <w:lang w:val="en-US"/>
        </w:rPr>
        <w:t>means</w:t>
      </w:r>
      <w:r w:rsidRPr="00C430D4">
        <w:rPr>
          <w:rFonts w:ascii="Arial" w:hAnsi="Arial" w:cs="Arial"/>
          <w:sz w:val="20"/>
          <w:szCs w:val="20"/>
        </w:rPr>
        <w:t xml:space="preserve"> mean of </w:t>
      </w:r>
      <w:r w:rsidR="00D25EA1">
        <w:rPr>
          <w:rFonts w:ascii="Arial" w:hAnsi="Arial" w:cs="Arial"/>
          <w:sz w:val="20"/>
          <w:szCs w:val="20"/>
          <w:lang w:val="en-US"/>
        </w:rPr>
        <w:t>3</w:t>
      </w:r>
      <w:r w:rsidRPr="00C430D4">
        <w:rPr>
          <w:rFonts w:ascii="Arial" w:hAnsi="Arial" w:cs="Arial"/>
          <w:sz w:val="20"/>
          <w:szCs w:val="20"/>
        </w:rPr>
        <w:t xml:space="preserve">, and the average difference between the pretest and posttest of </w:t>
      </w:r>
      <w:r w:rsidR="00D25EA1" w:rsidRPr="00D25EA1">
        <w:rPr>
          <w:rFonts w:ascii="Arial" w:hAnsi="Arial" w:cs="Arial"/>
          <w:sz w:val="20"/>
          <w:szCs w:val="20"/>
        </w:rPr>
        <w:t>12.2</w:t>
      </w:r>
      <w:r w:rsidRPr="00C430D4">
        <w:rPr>
          <w:rFonts w:ascii="Arial" w:hAnsi="Arial" w:cs="Arial"/>
          <w:sz w:val="20"/>
          <w:szCs w:val="20"/>
        </w:rPr>
        <w:t xml:space="preserve">, it can be said that ES counseling can significantly reduce scores </w:t>
      </w:r>
      <w:r w:rsidR="00EE7858" w:rsidRPr="00EE7858">
        <w:rPr>
          <w:rFonts w:ascii="Arial" w:hAnsi="Arial" w:cs="Arial"/>
          <w:sz w:val="20"/>
          <w:szCs w:val="20"/>
        </w:rPr>
        <w:t xml:space="preserve">school refusal </w:t>
      </w:r>
      <w:r w:rsidRPr="00C430D4">
        <w:rPr>
          <w:rFonts w:ascii="Arial" w:hAnsi="Arial" w:cs="Arial"/>
          <w:sz w:val="20"/>
          <w:szCs w:val="20"/>
        </w:rPr>
        <w:t>for students at Islamic boarding schools.</w:t>
      </w:r>
    </w:p>
    <w:p w:rsidR="00C430D4" w:rsidRPr="00C430D4" w:rsidRDefault="00C430D4" w:rsidP="00A72C2E">
      <w:pPr>
        <w:spacing w:after="0" w:line="360" w:lineRule="auto"/>
        <w:ind w:firstLine="720"/>
        <w:jc w:val="both"/>
        <w:rPr>
          <w:rFonts w:ascii="Arial" w:hAnsi="Arial" w:cs="Arial"/>
          <w:sz w:val="20"/>
          <w:szCs w:val="20"/>
        </w:rPr>
      </w:pPr>
      <w:r w:rsidRPr="00C430D4">
        <w:rPr>
          <w:rFonts w:ascii="Arial" w:hAnsi="Arial" w:cs="Arial"/>
          <w:sz w:val="20"/>
          <w:szCs w:val="20"/>
        </w:rPr>
        <w:t xml:space="preserve">Conclusively ES counseling (supported by empirical data) has shown efficacy in helping students who experience school refusal triggered by traumatic events. Descriptive </w:t>
      </w:r>
      <w:r w:rsidR="007B0619">
        <w:rPr>
          <w:rFonts w:ascii="Arial" w:hAnsi="Arial" w:cs="Arial"/>
          <w:sz w:val="20"/>
          <w:szCs w:val="20"/>
          <w:lang w:val="en-US"/>
        </w:rPr>
        <w:t>show</w:t>
      </w:r>
      <w:r w:rsidRPr="00C430D4">
        <w:rPr>
          <w:rFonts w:ascii="Arial" w:hAnsi="Arial" w:cs="Arial"/>
          <w:sz w:val="20"/>
          <w:szCs w:val="20"/>
        </w:rPr>
        <w:t>shows that through ES (Ego State) counseling, counselors help students re-experience traumatic events, then positively construct these events so that they do not interfere with students now and in the future. The efficacy of ES counseling is supported by previous research, research on ego state counseling strategies shows that trauma syndromes such as post-traumatic stress disorder (Post Traumatic Stress Disorder) and acute stress disorder (Acute Stress Disorder) can be effectively eliminated by using ego state counseling</w:t>
      </w:r>
      <w:r w:rsidR="00EE7858">
        <w:rPr>
          <w:rFonts w:ascii="Arial" w:hAnsi="Arial" w:cs="Arial"/>
          <w:sz w:val="20"/>
          <w:szCs w:val="20"/>
        </w:rPr>
        <w:fldChar w:fldCharType="begin" w:fldLock="1"/>
      </w:r>
      <w:r w:rsidR="00EE7858">
        <w:rPr>
          <w:rFonts w:ascii="Arial" w:hAnsi="Arial" w:cs="Arial"/>
          <w:sz w:val="20"/>
          <w:szCs w:val="20"/>
        </w:rPr>
        <w:instrText>ADDIN CSL_CITATION {"citationItems":[{"id":"ITEM-1","itemData":{"DOI":"10.1016/j.ejtd.2020.100184","ISSN":"24687499","abstract":"Introduction: Ego state theory (EST) and therapy was developed by Watkins and Watkins, based on Federn who first proposed the concept of ego state. The Watkins state that EST is based on three pillars: psychoanalysis, hypnosis and Janet's concept of dissociation. EST has been a major theory and therapy for the treatment of complex traumatization, in particular dissociative disorders, and is also a therapy helpful for other types of difficulties and pathologies. Objective: This paper aims at clarifying the theoretical background of EST, as well as recent inputs from EST therapists, and how new concepts on trauma and dissociation challenged and influenced modern EST. Method and results: After a thorough analysis of the literature, we provide with a detailed presentation of the main concepts of EST, their strengths and coherence, as well as the lack of coherence of some of these concepts. The development of EST stretches over several decades and attests to the richness of this integrative therapy and to the challenging development of the understanding of trauma and its sequalae. Conclusion: Even if the theoretical foundation of EST is imperfect, EST has developed an integrative model of psychotherapy for traumatized individuals that is still valuable today. EST should be acknowledged for its great influence on modern psychotraumatology and on the treatment of dissociative identity disorder.","author":[{"dropping-particle":"","family":"Leutner","given":"Susanne","non-dropping-particle":"","parse-names":false,"suffix":""},{"dropping-particle":"","family":"Piedfort-Marin","given":"Olivier","non-dropping-particle":"","parse-names":false,"suffix":""}],"container-title":"European Journal of Trauma and Dissociation","id":"ITEM-1","issue":"4","issued":{"date-parts":[["2021"]]},"page":"100184","publisher":"Elsevier Masson SAS","title":"The concept of ego state: From historical background to future perspectives","type":"article-journal","volume":"5"},"uris":["http://www.mendeley.com/documents/?uuid=f1bc7bf4-efbc-48fc-9e6a-23add2f64310"]}],"mendeley":{"formattedCitation":"(Leutner &amp; Piedfort-Marin, 2021)","plainTextFormattedCitation":"(Leutner &amp; Piedfort-Marin, 2021)","previouslyFormattedCitation":"(Leutner &amp; Piedfort-Marin, 2021)"},"properties":{"noteIndex":0},"schema":"https://github.com/citation-style-language/schema/raw/master/csl-citation.json"}</w:instrText>
      </w:r>
      <w:r w:rsidR="00EE7858">
        <w:rPr>
          <w:rFonts w:ascii="Arial" w:hAnsi="Arial" w:cs="Arial"/>
          <w:sz w:val="20"/>
          <w:szCs w:val="20"/>
        </w:rPr>
        <w:fldChar w:fldCharType="separate"/>
      </w:r>
      <w:r w:rsidR="00EE7858" w:rsidRPr="00EE7858">
        <w:rPr>
          <w:rFonts w:ascii="Arial" w:hAnsi="Arial" w:cs="Arial"/>
          <w:noProof/>
          <w:sz w:val="20"/>
          <w:szCs w:val="20"/>
        </w:rPr>
        <w:t>(Leutner &amp; Piedfort-Marin, 2021)</w:t>
      </w:r>
      <w:r w:rsidR="00EE7858">
        <w:rPr>
          <w:rFonts w:ascii="Arial" w:hAnsi="Arial" w:cs="Arial"/>
          <w:sz w:val="20"/>
          <w:szCs w:val="20"/>
        </w:rPr>
        <w:fldChar w:fldCharType="end"/>
      </w:r>
      <w:r w:rsidRPr="00C430D4">
        <w:rPr>
          <w:rFonts w:ascii="Arial" w:hAnsi="Arial" w:cs="Arial"/>
          <w:sz w:val="20"/>
          <w:szCs w:val="20"/>
        </w:rPr>
        <w:t xml:space="preserve">. Ego state counseling that can effectively help deal with trauma </w:t>
      </w:r>
      <w:r w:rsidR="00EE7858">
        <w:rPr>
          <w:rFonts w:ascii="Arial" w:hAnsi="Arial" w:cs="Arial"/>
          <w:sz w:val="20"/>
          <w:szCs w:val="20"/>
        </w:rPr>
        <w:fldChar w:fldCharType="begin" w:fldLock="1"/>
      </w:r>
      <w:r w:rsidR="00EE7858">
        <w:rPr>
          <w:rFonts w:ascii="Arial" w:hAnsi="Arial" w:cs="Arial"/>
          <w:sz w:val="20"/>
          <w:szCs w:val="20"/>
        </w:rPr>
        <w:instrText>ADDIN CSL_CITATION {"citationItems":[{"id":"ITEM-1","itemData":{"DOI":"10.1080/00207144.2018.1494435","ISSN":"17445183","PMID":"30152736","abstract":"The purpose of this article is to elucidate the origins of ego-state theory and therapy and to discuss the concept of human personality as a structure comprising numerous ego states. The historical roots of ego-state theory and therapy are reviewed. Also, the evolution of ego-state therapy from classic hypnotherapy to modern methods is identified. The article notes that these methods of ego-state therapy have been described by different authors and under different names. It is suggested that core concepts related to ego-state theory and therapy of guided hypnotic dissociation may underlie the core of clinical effectiveness in many contemporary psychotherapeutic methods.","author":[{"dropping-particle":"","family":"Abramowitz","given":"Eitan G.","non-dropping-particle":"","parse-names":false,"suffix":""},{"dropping-particle":"","family":"Torem","given":"Moshe S.","non-dropping-particle":"","parse-names":false,"suffix":""}],"container-title":"International Journal of Clinical and Experimental Hypnosis","id":"ITEM-1","issue":"4","issued":{"date-parts":[["2018"]]},"page":"353-370","publisher":"Routledge","title":"The Roots and Evolution of Ego-State Theory and Therapy","type":"article-journal","volume":"66"},"uris":["http://www.mendeley.com/documents/?uuid=c3842259-86d5-45b3-849b-b769361ac69f"]}],"mendeley":{"formattedCitation":"(Abramowitz &amp; Torem, 2018)","plainTextFormattedCitation":"(Abramowitz &amp; Torem, 2018)","previouslyFormattedCitation":"(Abramowitz &amp; Torem, 2018)"},"properties":{"noteIndex":0},"schema":"https://github.com/citation-style-language/schema/raw/master/csl-citation.json"}</w:instrText>
      </w:r>
      <w:r w:rsidR="00EE7858">
        <w:rPr>
          <w:rFonts w:ascii="Arial" w:hAnsi="Arial" w:cs="Arial"/>
          <w:sz w:val="20"/>
          <w:szCs w:val="20"/>
        </w:rPr>
        <w:fldChar w:fldCharType="separate"/>
      </w:r>
      <w:r w:rsidR="00EE7858" w:rsidRPr="00EE7858">
        <w:rPr>
          <w:rFonts w:ascii="Arial" w:hAnsi="Arial" w:cs="Arial"/>
          <w:noProof/>
          <w:sz w:val="20"/>
          <w:szCs w:val="20"/>
        </w:rPr>
        <w:t>(Abramowitz &amp; Torem, 2018)</w:t>
      </w:r>
      <w:r w:rsidR="00EE7858">
        <w:rPr>
          <w:rFonts w:ascii="Arial" w:hAnsi="Arial" w:cs="Arial"/>
          <w:sz w:val="20"/>
          <w:szCs w:val="20"/>
        </w:rPr>
        <w:fldChar w:fldCharType="end"/>
      </w:r>
      <w:r w:rsidRPr="00C430D4">
        <w:rPr>
          <w:rFonts w:ascii="Arial" w:hAnsi="Arial" w:cs="Arial"/>
          <w:sz w:val="20"/>
          <w:szCs w:val="20"/>
        </w:rPr>
        <w:t>.</w:t>
      </w:r>
    </w:p>
    <w:p w:rsidR="00C430D4" w:rsidRDefault="00C430D4" w:rsidP="00A72C2E">
      <w:pPr>
        <w:spacing w:after="0" w:line="360" w:lineRule="auto"/>
        <w:ind w:firstLine="633"/>
        <w:jc w:val="both"/>
        <w:rPr>
          <w:rFonts w:ascii="Arial" w:hAnsi="Arial" w:cs="Arial"/>
          <w:sz w:val="20"/>
          <w:szCs w:val="20"/>
        </w:rPr>
      </w:pPr>
      <w:r w:rsidRPr="00C430D4">
        <w:rPr>
          <w:rFonts w:ascii="Arial" w:hAnsi="Arial" w:cs="Arial"/>
          <w:sz w:val="20"/>
          <w:szCs w:val="20"/>
        </w:rPr>
        <w:t xml:space="preserve">The effect of ES counseling was clinically and statistically very significant. ES counseling is not only able to deal with counselees who are school refusal triggered by traumatic events </w:t>
      </w:r>
      <w:r w:rsidRPr="00C430D4">
        <w:rPr>
          <w:rFonts w:ascii="Arial" w:hAnsi="Arial" w:cs="Arial"/>
          <w:sz w:val="20"/>
          <w:szCs w:val="20"/>
        </w:rPr>
        <w:lastRenderedPageBreak/>
        <w:t xml:space="preserve">completely, </w:t>
      </w:r>
      <w:r w:rsidR="007B0619">
        <w:rPr>
          <w:rFonts w:ascii="Arial" w:hAnsi="Arial" w:cs="Arial"/>
          <w:sz w:val="20"/>
          <w:szCs w:val="20"/>
          <w:lang w:val="en-US"/>
        </w:rPr>
        <w:t>can</w:t>
      </w:r>
      <w:r w:rsidRPr="00C430D4">
        <w:rPr>
          <w:rFonts w:ascii="Arial" w:hAnsi="Arial" w:cs="Arial"/>
          <w:sz w:val="20"/>
          <w:szCs w:val="20"/>
        </w:rPr>
        <w:t xml:space="preserve">e to deal with the trauma successfully and completely, continuously to the post-treatment measurement. These findings are in line with the opinion of Barabasz </w:t>
      </w:r>
      <w:r w:rsidR="00EE7858">
        <w:rPr>
          <w:rFonts w:ascii="Arial" w:hAnsi="Arial" w:cs="Arial"/>
          <w:sz w:val="20"/>
          <w:szCs w:val="20"/>
        </w:rPr>
        <w:fldChar w:fldCharType="begin" w:fldLock="1"/>
      </w:r>
      <w:r w:rsidR="00EE7858">
        <w:rPr>
          <w:rFonts w:ascii="Arial" w:hAnsi="Arial" w:cs="Arial"/>
          <w:sz w:val="20"/>
          <w:szCs w:val="20"/>
        </w:rPr>
        <w:instrText>ADDIN CSL_CITATION {"citationItems":[{"id":"ITEM-1","itemData":{"DOI":"10.1080/00207144.2011.595349","ISSN":"00207144","PMID":"21867374","abstract":"Ego state therapy (EST) evolved from a psychodynamic understanding of personality as a product of an individual's ego states to a conceptualization of how ego-energized and object-energized elements are bound together to cope with a traumatic event. Neurobiological studies now substantiate Watkins's war neuroses conceptualizations. Because of their severity, trauma memories are encoded in the subcortical-subconscious brain regions that are accessed by the single-session manualized EST procedure but not by the popular cognitive-behavioral management therapies. The imprint of the trauma is not accessible or resolvable by such top-down verbal understanding or reframing; EST is a bottom-up therapy. Abreactive hypnosis facilitates ego state expression at physiologically and psychologically intense levels sufficient to activate subcortical processes to release affect in the presence of the therapist, who adds ego strength to the patient. This is followed by interpretation and reintegration. The result is a reconstructed personality that is adaptive and resilient. Copyright © International Journal of Clinical and Experimental Hypnosis.","author":[{"dropping-particle":"","family":"Barabasz","given":"Arreed F.","non-dropping-particle":"","parse-names":false,"suffix":""},{"dropping-particle":"","family":"Barabasz","given":"Marianne","non-dropping-particle":"","parse-names":false,"suffix":""},{"dropping-particle":"","family":"Watkins","given":"John G.","non-dropping-particle":"","parse-names":false,"suffix":""}],"container-title":"International Journal of Clinical and Experimental Hypnosis","id":"ITEM-1","issue":"4","issued":{"date-parts":[["2011"]]},"page":"379-391","title":"Single-session manualized ego state therapy (EST) for combat stress injury, PTSD, and ASD, part 1: The theory","type":"article-journal","volume":"59"},"uris":["http://www.mendeley.com/documents/?uuid=7b6aaac3-f4d9-4a80-b7c9-7dd964fbfd72"]}],"mendeley":{"formattedCitation":"(Barabasz et al., 2011)","plainTextFormattedCitation":"(Barabasz et al., 2011)","previouslyFormattedCitation":"(Barabasz et al., 2011)"},"properties":{"noteIndex":0},"schema":"https://github.com/citation-style-language/schema/raw/master/csl-citation.json"}</w:instrText>
      </w:r>
      <w:r w:rsidR="00EE7858">
        <w:rPr>
          <w:rFonts w:ascii="Arial" w:hAnsi="Arial" w:cs="Arial"/>
          <w:sz w:val="20"/>
          <w:szCs w:val="20"/>
        </w:rPr>
        <w:fldChar w:fldCharType="separate"/>
      </w:r>
      <w:r w:rsidR="00EE7858" w:rsidRPr="00EE7858">
        <w:rPr>
          <w:rFonts w:ascii="Arial" w:hAnsi="Arial" w:cs="Arial"/>
          <w:noProof/>
          <w:sz w:val="20"/>
          <w:szCs w:val="20"/>
        </w:rPr>
        <w:t>(Barabasz et al., 2011)</w:t>
      </w:r>
      <w:r w:rsidR="00EE7858">
        <w:rPr>
          <w:rFonts w:ascii="Arial" w:hAnsi="Arial" w:cs="Arial"/>
          <w:sz w:val="20"/>
          <w:szCs w:val="20"/>
        </w:rPr>
        <w:fldChar w:fldCharType="end"/>
      </w:r>
      <w:r w:rsidRPr="00C430D4">
        <w:rPr>
          <w:rFonts w:ascii="Arial" w:hAnsi="Arial" w:cs="Arial"/>
          <w:sz w:val="20"/>
          <w:szCs w:val="20"/>
        </w:rPr>
        <w:t>. Fluid communication in the ego state makes a person able to continuously find solutions internally. This makes a person's personality more adaptive and resilient to traumatic events</w:t>
      </w:r>
      <w:r w:rsidR="00EE7858">
        <w:rPr>
          <w:rFonts w:ascii="Arial" w:hAnsi="Arial" w:cs="Arial"/>
          <w:sz w:val="20"/>
          <w:szCs w:val="20"/>
          <w:lang w:val="en-US"/>
        </w:rPr>
        <w:t xml:space="preserve"> </w:t>
      </w:r>
      <w:r w:rsidR="00EE7858">
        <w:rPr>
          <w:rFonts w:ascii="Arial" w:hAnsi="Arial" w:cs="Arial"/>
          <w:sz w:val="20"/>
          <w:szCs w:val="20"/>
          <w:lang w:val="en-US"/>
        </w:rPr>
        <w:fldChar w:fldCharType="begin" w:fldLock="1"/>
      </w:r>
      <w:r w:rsidR="00EE7858">
        <w:rPr>
          <w:rFonts w:ascii="Arial" w:hAnsi="Arial" w:cs="Arial"/>
          <w:sz w:val="20"/>
          <w:szCs w:val="20"/>
          <w:lang w:val="en-US"/>
        </w:rPr>
        <w:instrText>ADDIN CSL_CITATION {"citationItems":[{"id":"ITEM-1","itemData":{"DOI":"10.1080/00207144.2018.1494435","ISSN":"17445183","PMID":"30152736","abstract":"The purpose of this article is to elucidate the origins of ego-state theory and therapy and to discuss the concept of human personality as a structure comprising numerous ego states. The historical roots of ego-state theory and therapy are reviewed. Also, the evolution of ego-state therapy from classic hypnotherapy to modern methods is identified. The article notes that these methods of ego-state therapy have been described by different authors and under different names. It is suggested that core concepts related to ego-state theory and therapy of guided hypnotic dissociation may underlie the core of clinical effectiveness in many contemporary psychotherapeutic methods.","author":[{"dropping-particle":"","family":"Abramowitz","given":"Eitan G.","non-dropping-particle":"","parse-names":false,"suffix":""},{"dropping-particle":"","family":"Torem","given":"Moshe S.","non-dropping-particle":"","parse-names":false,"suffix":""}],"container-title":"International Journal of Clinical and Experimental Hypnosis","id":"ITEM-1","issue":"4","issued":{"date-parts":[["2018"]]},"page":"353-370","publisher":"Routledge","title":"The Roots and Evolution of Ego-State Theory and Therapy","type":"article-journal","volume":"66"},"uris":["http://www.mendeley.com/documents/?uuid=c3842259-86d5-45b3-849b-b769361ac69f"]}],"mendeley":{"formattedCitation":"(Abramowitz &amp; Torem, 2018)","plainTextFormattedCitation":"(Abramowitz &amp; Torem, 2018)","previouslyFormattedCitation":"(Abramowitz &amp; Torem, 2018)"},"properties":{"noteIndex":0},"schema":"https://github.com/citation-style-language/schema/raw/master/csl-citation.json"}</w:instrText>
      </w:r>
      <w:r w:rsidR="00EE7858">
        <w:rPr>
          <w:rFonts w:ascii="Arial" w:hAnsi="Arial" w:cs="Arial"/>
          <w:sz w:val="20"/>
          <w:szCs w:val="20"/>
          <w:lang w:val="en-US"/>
        </w:rPr>
        <w:fldChar w:fldCharType="separate"/>
      </w:r>
      <w:r w:rsidR="00EE7858" w:rsidRPr="00EE7858">
        <w:rPr>
          <w:rFonts w:ascii="Arial" w:hAnsi="Arial" w:cs="Arial"/>
          <w:noProof/>
          <w:sz w:val="20"/>
          <w:szCs w:val="20"/>
          <w:lang w:val="en-US"/>
        </w:rPr>
        <w:t>(Abramowitz &amp; Torem, 2018)</w:t>
      </w:r>
      <w:r w:rsidR="00EE7858">
        <w:rPr>
          <w:rFonts w:ascii="Arial" w:hAnsi="Arial" w:cs="Arial"/>
          <w:sz w:val="20"/>
          <w:szCs w:val="20"/>
          <w:lang w:val="en-US"/>
        </w:rPr>
        <w:fldChar w:fldCharType="end"/>
      </w:r>
      <w:r w:rsidRPr="00C430D4">
        <w:rPr>
          <w:rFonts w:ascii="Arial" w:hAnsi="Arial" w:cs="Arial"/>
          <w:sz w:val="20"/>
          <w:szCs w:val="20"/>
        </w:rPr>
        <w:t>.</w:t>
      </w:r>
    </w:p>
    <w:p w:rsidR="00C430D4" w:rsidRPr="00C430D4" w:rsidRDefault="00C430D4" w:rsidP="00C430D4">
      <w:pPr>
        <w:spacing w:after="0" w:line="360" w:lineRule="auto"/>
        <w:ind w:firstLine="633"/>
        <w:jc w:val="both"/>
        <w:rPr>
          <w:rFonts w:ascii="Arial" w:hAnsi="Arial" w:cs="Arial"/>
          <w:sz w:val="20"/>
          <w:szCs w:val="20"/>
        </w:rPr>
      </w:pPr>
      <w:r w:rsidRPr="00C430D4">
        <w:rPr>
          <w:rFonts w:ascii="Arial" w:hAnsi="Arial" w:cs="Arial"/>
          <w:sz w:val="20"/>
          <w:szCs w:val="20"/>
        </w:rPr>
        <w:t>When examined visually, it shows a downward trend in SRC scores during the treatment period, this also shows that there is a significant change from time to time during treatment, indicating a significant decrease in school refusal behavior.</w:t>
      </w:r>
    </w:p>
    <w:p w:rsidR="00C430D4" w:rsidRPr="00C430D4" w:rsidRDefault="00C430D4" w:rsidP="00C430D4">
      <w:pPr>
        <w:spacing w:after="0" w:line="360" w:lineRule="auto"/>
        <w:ind w:firstLine="633"/>
        <w:jc w:val="both"/>
        <w:rPr>
          <w:rFonts w:ascii="Arial" w:hAnsi="Arial" w:cs="Arial"/>
          <w:sz w:val="20"/>
          <w:szCs w:val="20"/>
        </w:rPr>
      </w:pPr>
      <w:r w:rsidRPr="00C430D4">
        <w:rPr>
          <w:rFonts w:ascii="Arial" w:hAnsi="Arial" w:cs="Arial"/>
          <w:sz w:val="20"/>
          <w:szCs w:val="20"/>
        </w:rPr>
        <w:t>ES counseling proved to have convincing efficacy, it was proven that there was a known change in the level of the score at the baseline condit</w:t>
      </w:r>
      <w:r w:rsidR="007B0619">
        <w:rPr>
          <w:rFonts w:ascii="Arial" w:hAnsi="Arial" w:cs="Arial"/>
          <w:sz w:val="20"/>
          <w:szCs w:val="20"/>
          <w:lang w:val="en-US"/>
        </w:rPr>
        <w:t>ion decreased</w:t>
      </w:r>
      <w:r w:rsidRPr="00C430D4">
        <w:rPr>
          <w:rFonts w:ascii="Arial" w:hAnsi="Arial" w:cs="Arial"/>
          <w:sz w:val="20"/>
          <w:szCs w:val="20"/>
        </w:rPr>
        <w:t xml:space="preserve"> in the treatment score, and also decreased in the withdrawal condition, both on measurements using the SRC (School refusal checklist). Likewise, there is a change in slope, which is recognized from the trend of scores which variably show a change in the decrease in scores from the baseline stage to the treatment stage and a stable trend in the withdrawal stage, in the SRC. With the change in level and adequate slope, it means that ES counseling is effective to be used to solve school refusal problems.</w:t>
      </w:r>
    </w:p>
    <w:p w:rsidR="00C430D4" w:rsidRPr="00C430D4" w:rsidRDefault="00C430D4" w:rsidP="00C430D4">
      <w:pPr>
        <w:spacing w:after="0" w:line="360" w:lineRule="auto"/>
        <w:ind w:firstLine="633"/>
        <w:jc w:val="both"/>
        <w:rPr>
          <w:rFonts w:ascii="Arial" w:hAnsi="Arial" w:cs="Arial"/>
          <w:sz w:val="20"/>
          <w:szCs w:val="20"/>
        </w:rPr>
      </w:pPr>
      <w:r w:rsidRPr="00C430D4">
        <w:rPr>
          <w:rFonts w:ascii="Arial" w:hAnsi="Arial" w:cs="Arial"/>
          <w:sz w:val="20"/>
          <w:szCs w:val="20"/>
        </w:rPr>
        <w:t>Conclusively, ES counseling has efficacy, this is indicated by the existence of therapeutic changes in the counselee. The results of the visual analysis on the five subjects who experienced school refusal showed that the five subjects experienced significant therapeutic changes, which means that the five subjects experienced a decrease in school refusal behavior, although in the fourth subject the posttest score was still quite high and still needed further treatment. This shows that ES counseling has been able to positively reconstruct the counselee's past and is able to generate courage to face the present and the future.</w:t>
      </w:r>
    </w:p>
    <w:p w:rsidR="00C430D4" w:rsidRPr="00C430D4" w:rsidRDefault="00C430D4" w:rsidP="00C430D4">
      <w:pPr>
        <w:spacing w:after="0" w:line="360" w:lineRule="auto"/>
        <w:ind w:firstLine="633"/>
        <w:jc w:val="both"/>
        <w:rPr>
          <w:rFonts w:ascii="Arial" w:hAnsi="Arial" w:cs="Arial"/>
          <w:sz w:val="20"/>
          <w:szCs w:val="20"/>
        </w:rPr>
      </w:pPr>
      <w:r w:rsidRPr="00C430D4">
        <w:rPr>
          <w:rFonts w:ascii="Arial" w:hAnsi="Arial" w:cs="Arial"/>
          <w:sz w:val="20"/>
          <w:szCs w:val="20"/>
        </w:rPr>
        <w:t>School refusal (school refusal), has convincingly been experienced by students at Islamic boarding schools, this data is reinforced by previous researchers who showed that students at Islamic boarding schools ranged from 3% - 4% (Nursalim, et al., 2016). The condition of school refusal is higher than the condition of school refusal internationally, which is 2.4%. As for America, a prevalence rate of 1.3% in adolescents aged 14-16 years and 4.1%-4.7% in children aged 7-14 years. The prevalence of school refusal, which is higher than internationally, shows that school refusal is a serious problem and requires immediate and comprehensive treatment</w:t>
      </w:r>
      <w:r w:rsidR="0062705C">
        <w:rPr>
          <w:rFonts w:ascii="Arial" w:hAnsi="Arial" w:cs="Arial"/>
          <w:sz w:val="20"/>
          <w:szCs w:val="20"/>
          <w:lang w:val="en-US"/>
        </w:rPr>
        <w:t xml:space="preserve"> </w:t>
      </w:r>
      <w:r w:rsidR="0062705C">
        <w:rPr>
          <w:rFonts w:ascii="Arial" w:hAnsi="Arial" w:cs="Arial"/>
          <w:sz w:val="20"/>
          <w:szCs w:val="20"/>
          <w:lang w:val="en-US"/>
        </w:rPr>
        <w:fldChar w:fldCharType="begin" w:fldLock="1"/>
      </w:r>
      <w:r w:rsidR="00DB3D33">
        <w:rPr>
          <w:rFonts w:ascii="Arial" w:hAnsi="Arial" w:cs="Arial"/>
          <w:sz w:val="20"/>
          <w:szCs w:val="20"/>
          <w:lang w:val="en-US"/>
        </w:rPr>
        <w:instrText>ADDIN CSL_CITATION {"citationItems":[{"id":"ITEM-1","itemData":{"DOI":"10.3389/fpsyt.2021.782605","ISSN":"16640640","abstract":"Objective: Although, there has been a growing number of studies on school refusal in Western cultures, the underlying factors that contribute to school refusal in Chinese adolescents remain unclear. This study aimed to better understand why Chinese adolescents refuse to go to school and to further interpret what they want to express through their school refusal behaviors. Methods: We performed a qualitative study using an interpretative phenomenological analysis. Twenty adolescents with school refusal experiences were recruited from the clinical psychology department of two mental health hospitals in Shanghai, China. They participated in semistructured, face-to-face in-depth interviews. The interviews were transcribed verbatim and analyzed according to the guidelines of interpretative phenomenological analysis. Findings: Five main superordinate themes emerged from data analysis: (a) competition-oriented social environment; (b) family living space dominated by conflicts; (c) personal living space lacking meaningful support; (d) conflict between the pros and cons of being labeled with a psychiatric diagnosis; and (e) reintegration in school life. Conclusions: Our analysis emphasized the complex interacting effects of the social environment, family interpersonal conflicts, personal psychological factors and mental health complaints on the development and maintenance of Chinese adolescents' school refusal. These factors contributed to school refusal at each level and influenced each other's effects on school refusal behaviors. Therefore, interventions for Chinese teenagers with school refusal may need to integrate strategies that inspire reorganization and changes in different ecosystems, such as strategies related to government policy, peer relationships, family systems and individual inner dynamics.","author":[{"dropping-particle":"","family":"Liu","given":"Liang","non-dropping-particle":"","parse-names":false,"suffix":""},{"dropping-particle":"","family":"Gu","given":"Hong","non-dropping-particle":"","parse-names":false,"suffix":""},{"dropping-particle":"","family":"Zhao","given":"Xudong","non-dropping-particle":"","parse-names":false,"suffix":""},{"dropping-particle":"","family":"Wang","given":"Yanbo","non-dropping-particle":"","parse-names":false,"suffix":""}],"container-title":"Frontiers in Psychiatry","id":"ITEM-1","issue":"December","issued":{"date-parts":[["2021"]]},"page":"1-12","title":"What Contributes to the Development and Maintenance of School Refusal in Chinese Adolescents: A Qualitative Study","type":"article-journal","volume":"12"},"uris":["http://www.mendeley.com/documents/?uuid=cec10b89-0ade-41c6-ba41-3db9731b0dcd"]},{"id":"ITEM-2","itemData":{"DOI":"10.3389/feduc.2021.715177","ISSN":"2504284X","abstract":"Attending school is usually seen as a precondition for academic, social, and emotional learning. However, school absenteeism is a problem in many countries and covers different types of authorized or unauthorized absences and a myriad of reasons. An authorized absence is when there is a satisfactory explanation for the youth’s absence, while unauthorized absence is usually understood as school attendance problems (SAPs). The main aim of this article is first to investigate define, describe, and discuss school refusal (SR) and how SR differs from other concepts of SAPs, and the secondary aim is to understand SR using different theoretical perspectives. The article outlines this aim based upon a review of international research in this field and uses the systemic integrated cognitive approach and school alienation theories to explain how SR might emerge and develop. The review indicates that SAPs involve many types, concepts, definitions, and reasons. The most frequently used concepts are school refusal behavior, truancy, school refusal, and school withdrawal. Based on the review, the article argues for a common understanding of these concepts among all stakeholders. We suggest a narrow definition of SR to enhance clarity and agreement and propose that the systemic integrated cognitive approach and school alienation theory are relevant to the understanding of SR. A common understanding among all stakeholders is the importance of identifying and intervening in specific types of SAPs. By using a systemic integrated cognitive approach and school alienation theory, identification and interventions can be targeted at an early stage of the development process of SR.","author":[{"dropping-particle":"","family":"Havik","given":"Trude","non-dropping-particle":"","parse-names":false,"suffix":""},{"dropping-particle":"","family":"Ingul","given":"Jo Magne","non-dropping-particle":"","parse-names":false,"suffix":""}],"container-title":"Frontiers in Education","id":"ITEM-2","issue":"September","issued":{"date-parts":[["2021"]]},"page":"1-11","title":"How to Understand School Refusal","type":"article-journal","volume":"6"},"uris":["http://www.mendeley.com/documents/?uuid=ecaff691-9f0a-44ea-afab-e3693a2132c2"]},{"id":"ITEM-3","itemData":{"DOI":"10.1080/13229400.2020.1842232","ISSN":"13229400","abstract":"School refusal in adolescents is a growing issue and has been studied from several angles. Parental psychological control is a known risk factor for school refusal. Several individual factors have been linked to school refusal, including children’s emotion regulation, externalizing, and internalizing behaviours. The current study hypothesized that a child’s emotion regulation, internalizing problems, and externalizing problems mediate the relationship between parental factors and school refusal. Participants enrolled in a residential treatment programme (n=184, 62% female; M age =15.26, SD=1.54) and their parents completed assessments as part of a pre-treatment protocol. The participants’ mean scores for school refusal types 1–4 were 2.08 (SD=1.78), 0.97 (SD=1.34), 2.14 (SD=1.68), and 2.91 (SD=1.46), respectively. Multiple-mediation analysis was performed using the PROCESS macro (Hayes, A. F. (2018). Introduction to mediation, moderation, and conditional process analysis: A regression-based approach (2nd ed.) New York: The Guilford Press). Parental psychological control was related to expressive suppression (b=.24, p=.01) and externalizing problems (b=.36, p=.03), though it was unrelated to cognitive reappraisal and internalizing problems (p&gt;.05). Each model of school refusal was significant, with r2 ranging from.18 to.43 (p&lt;.0001 for all models). Additionally, significant indirect effects were identified for all four models. Results demonstrated a comprehensive mediated model that accounted for up to 43% of the variance in school refusal. Future studies should seek to expand on the comprehensive approach of this model.","author":[{"dropping-particle":"","family":"Hughes","given":"Phillip M.","non-dropping-particle":"","parse-names":false,"suffix":""},{"dropping-particle":"","family":"Ostrout","given":"Tabitha L.","non-dropping-particle":"","parse-names":false,"suffix":""},{"dropping-particle":"","family":"Lewis","given":"Sarah","non-dropping-particle":"","parse-names":false,"suffix":""}],"container-title":"Journal of Family Studies","id":"ITEM-3","issue":"0","issued":{"date-parts":[["2020"]]},"page":"1-16","publisher":"Taylor &amp; Francis","title":"The impact of parental and individual factors on school refusal: a multiple-mediation model","type":"article-journal","volume":"0"},"uris":["http://www.mendeley.com/documents/?uuid=9a0ba762-86ab-45cf-aabf-15d4037fa8d8"]}],"mendeley":{"formattedCitation":"(Havik &amp; Ingul, 2021; Hughes et al., 2020; Liu et al., 2021)","plainTextFormattedCitation":"(Havik &amp; Ingul, 2021; Hughes et al., 2020; Liu et al., 2021)","previouslyFormattedCitation":"(Havik &amp; Ingul, 2021; Hughes et al., 2020; Liu et al., 2021)"},"properties":{"noteIndex":0},"schema":"https://github.com/citation-style-language/schema/raw/master/csl-citation.json"}</w:instrText>
      </w:r>
      <w:r w:rsidR="0062705C">
        <w:rPr>
          <w:rFonts w:ascii="Arial" w:hAnsi="Arial" w:cs="Arial"/>
          <w:sz w:val="20"/>
          <w:szCs w:val="20"/>
          <w:lang w:val="en-US"/>
        </w:rPr>
        <w:fldChar w:fldCharType="separate"/>
      </w:r>
      <w:r w:rsidR="0062705C" w:rsidRPr="0062705C">
        <w:rPr>
          <w:rFonts w:ascii="Arial" w:hAnsi="Arial" w:cs="Arial"/>
          <w:noProof/>
          <w:sz w:val="20"/>
          <w:szCs w:val="20"/>
          <w:lang w:val="en-US"/>
        </w:rPr>
        <w:t>(Havik &amp; Ingul, 2021; Hughes et al., 2020; Liu et al., 2021)</w:t>
      </w:r>
      <w:r w:rsidR="0062705C">
        <w:rPr>
          <w:rFonts w:ascii="Arial" w:hAnsi="Arial" w:cs="Arial"/>
          <w:sz w:val="20"/>
          <w:szCs w:val="20"/>
          <w:lang w:val="en-US"/>
        </w:rPr>
        <w:fldChar w:fldCharType="end"/>
      </w:r>
      <w:r w:rsidRPr="00C430D4">
        <w:rPr>
          <w:rFonts w:ascii="Arial" w:hAnsi="Arial" w:cs="Arial"/>
          <w:sz w:val="20"/>
          <w:szCs w:val="20"/>
        </w:rPr>
        <w:t>.</w:t>
      </w:r>
    </w:p>
    <w:p w:rsidR="00C430D4" w:rsidRDefault="00C430D4" w:rsidP="00C430D4">
      <w:pPr>
        <w:spacing w:after="0" w:line="360" w:lineRule="auto"/>
        <w:ind w:firstLine="633"/>
        <w:jc w:val="both"/>
        <w:rPr>
          <w:rFonts w:ascii="Arial" w:hAnsi="Arial" w:cs="Arial"/>
          <w:sz w:val="20"/>
          <w:szCs w:val="20"/>
        </w:rPr>
      </w:pPr>
      <w:r w:rsidRPr="00C430D4">
        <w:rPr>
          <w:rFonts w:ascii="Arial" w:hAnsi="Arial" w:cs="Arial"/>
          <w:sz w:val="20"/>
          <w:szCs w:val="20"/>
        </w:rPr>
        <w:t xml:space="preserve">Judging from the characteristics of school refusal found in this study, these include (a) entering school but not attending certain classes, or leaving class before the end of class, usually the place where students who attend school refusal leave the class and go to the UKS room, BK room, hall, canteen or prayer room. Long duration of leaving the classroom for an hour or two lessons until the end of the lesson. (b) did not attend all subjects or did not attend school due to bad mood, (c) went to school with physical complaints and other complaints, (d) </w:t>
      </w:r>
      <w:r w:rsidR="00A72C2E">
        <w:rPr>
          <w:rFonts w:ascii="Arial" w:hAnsi="Arial" w:cs="Arial"/>
          <w:sz w:val="20"/>
          <w:szCs w:val="20"/>
          <w:lang w:val="en-US"/>
        </w:rPr>
        <w:t xml:space="preserve">had </w:t>
      </w:r>
      <w:r w:rsidRPr="00C430D4">
        <w:rPr>
          <w:rFonts w:ascii="Arial" w:hAnsi="Arial" w:cs="Arial"/>
          <w:sz w:val="20"/>
          <w:szCs w:val="20"/>
        </w:rPr>
        <w:t xml:space="preserve">difficulty in following lessons at school, (e) attended lessons, accompanied by feelings of restlessness, he afraid, anxious and, his hands are shaking, his heart is beating fast, he is sweating profusely, (f) hurting oneself and attacking others. </w:t>
      </w:r>
    </w:p>
    <w:p w:rsidR="00C430D4" w:rsidRPr="00C430D4" w:rsidRDefault="00C430D4" w:rsidP="00C430D4">
      <w:pPr>
        <w:spacing w:after="0" w:line="360" w:lineRule="auto"/>
        <w:ind w:firstLine="720"/>
        <w:jc w:val="both"/>
        <w:rPr>
          <w:rFonts w:ascii="Arial" w:hAnsi="Arial" w:cs="Arial"/>
          <w:sz w:val="20"/>
          <w:szCs w:val="20"/>
        </w:rPr>
      </w:pPr>
      <w:r w:rsidRPr="00C430D4">
        <w:rPr>
          <w:rFonts w:ascii="Arial" w:hAnsi="Arial" w:cs="Arial"/>
          <w:sz w:val="20"/>
          <w:szCs w:val="20"/>
        </w:rPr>
        <w:lastRenderedPageBreak/>
        <w:t>These characteristic findings are in line with the opinion of experts, namely not attending school for a long time or indicating a periodic period of school absence, entering school but not attending certain classes, aggressive, going to school with physical and other complaints, feeling uncomfortable at school because of being bullied, difficulty</w:t>
      </w:r>
      <w:r w:rsidR="00EE7858">
        <w:rPr>
          <w:rFonts w:ascii="Arial" w:hAnsi="Arial" w:cs="Arial"/>
          <w:sz w:val="20"/>
          <w:szCs w:val="20"/>
        </w:rPr>
        <w:t xml:space="preserve"> in following lessons at school</w:t>
      </w:r>
      <w:r w:rsidRPr="00C430D4">
        <w:rPr>
          <w:rFonts w:ascii="Arial" w:hAnsi="Arial" w:cs="Arial"/>
          <w:sz w:val="20"/>
          <w:szCs w:val="20"/>
        </w:rPr>
        <w:t>, have anxiety or phobic disorder</w:t>
      </w:r>
      <w:r w:rsidR="00EE7858">
        <w:rPr>
          <w:rFonts w:ascii="Arial" w:hAnsi="Arial" w:cs="Arial"/>
          <w:sz w:val="20"/>
          <w:szCs w:val="20"/>
          <w:lang w:val="en-US"/>
        </w:rPr>
        <w:t xml:space="preserve"> </w:t>
      </w:r>
      <w:r w:rsidR="00EE7858">
        <w:rPr>
          <w:rFonts w:ascii="Arial" w:hAnsi="Arial" w:cs="Arial"/>
          <w:sz w:val="20"/>
          <w:szCs w:val="20"/>
          <w:lang w:val="en-US"/>
        </w:rPr>
        <w:fldChar w:fldCharType="begin" w:fldLock="1"/>
      </w:r>
      <w:r w:rsidR="0062705C">
        <w:rPr>
          <w:rFonts w:ascii="Arial" w:hAnsi="Arial" w:cs="Arial"/>
          <w:sz w:val="20"/>
          <w:szCs w:val="20"/>
          <w:lang w:val="en-US"/>
        </w:rPr>
        <w:instrText>ADDIN CSL_CITATION {"citationItems":[{"id":"ITEM-1","itemData":{"DOI":"10.1155/2021/6626394","ISSN":"17414288","abstract":"Complementary Alternative Medicine (CAM) has been widely used in the world, but limited data are available on the use of CAM in depression. This study aimed to evaluate the use of CAM and its associated factors in depression. This cross-sectional study was conducted on 300 depressed patients referred to the Yasuj Neurology and Psychiatric Clinic, southern Iran, between 2019 and 2020. A valid semistructured international questionnaire was used; amongst the participants, 230 (77%) were female. The mean age of the patients was 41.47 ± 12.2 years and the mean duration of the disease was 4.49 ± 4.88 years. The prevalence of CAM use was 37.6% among the patients. The results showed a significant difference between the CAM users and nonusers regarding the disease duration (p = 0.045) and body mass index (p = 0.007). Moreover, the results of logistic regression analysis revealed a significant relationship between CAM use and female gender, disease duration, overweight, obesity, and self-employment (p = 0.039, p = 0.028, p = 0.029, p = 0.048, and p = 0.044, resp.). The most frequently used type of CAM was herbal medicine (97.35%) followed by pray therapy (23.89%). Additionally, the most widely used herbs were borage (77%), chamomile (46.9%), and lavender (21.2%). Furthermore, 62.8% of the patients reported that their main reason for using CAM was its effectiveness. The majority of the patients (77%) had not consulted their physicians prior to utilization of CAM therapies. Herbal medicine was the most common form of CAM in depression, with a high satisfaction level. Thus, it is necessary to increase physicians’ awareness in different fields of CAM.","author":[{"dropping-particle":"","family":"Ashraf","given":"Hamide","non-dropping-particle":"","parse-names":false,"suffix":""},{"dropping-particle":"","family":"Salehi","given":"Alireza","non-dropping-particle":"","parse-names":false,"suffix":""},{"dropping-particle":"","family":"Sousani","given":"Malihe","non-dropping-particle":"","parse-names":false,"suffix":""},{"dropping-particle":"","family":"Sharifi","given":"Mohammad Hossein","non-dropping-particle":"","parse-names":false,"suffix":""}],"container-title":"Evidence-based Complementary and Alternative Medicine","id":"ITEM-1","issued":{"date-parts":[["2021"]]},"title":"Use of complementary alternative medicine and the associated factors among patients with depression","type":"article-journal","volume":"2021"},"uris":["http://www.mendeley.com/documents/?uuid=00d00c79-2b3d-4b86-86ae-2b3b42f310ed"]},{"id":"ITEM-2","itemData":{"DOI":"10.1007/s00787-018-1204-2","ISBN":"0123456789","ISSN":"1435165X","PMID":"30043236","abstract":"School attendance problems (SAPs) become manifest in many ways and are associated with multiple risk factors, calling for comprehensive assessment methods. This study documents the development of the inventory of school attendance problems (ISAP), which assesses both the quality and the function of a broad spectrum of SAPs by first asking students with SAPs to rate the intensity of symptoms prior to or at school and then to rate their impact on school attendance. An empirically generated pool of 124 items was analyzed (explorative factor analysis) using a clinical sample of N = 245 students with SAPs (53.5% male; M age : 14.4). The Youth Self Report (YSR), a German version of the School Refusal Assessment Scale (SRAS), and the extent of school absenteeism were used to determine construct validity. The resulting 48 items loaded on 13 factors. The 13 scales assess internalizing and externalizing symptoms (Depression, Social Anxiety, Performance Anxiety, Agoraphobia/Panic, Separation Anxiety, Somatic Complaints, Aggression, School Aversion/Attractive Alternatives) as well as emotional distress due to problems in the school or family context (Problems with Teachers, Dislike of the Specific School, Problems with Peers, Problems Within the Family, Problems with Parents). All scales showed good internal consistencies. Their correlations with the YSR and the SRAS indicated convergent and discriminant validity. Positive associations between most of the scales and the extent of school absenteeism were obtained. Although preliminary, these results support the usefulness of the ISAP for a comprehensive assessment of SAPs in clinical settings.","author":[{"dropping-particle":"","family":"Knollmann","given":"Martin","non-dropping-particle":"","parse-names":false,"suffix":""},{"dropping-particle":"","family":"Reissner","given":"Volker","non-dropping-particle":"","parse-names":false,"suffix":""},{"dropping-particle":"","family":"Hebebrand","given":"Johannes","non-dropping-particle":"","parse-names":false,"suffix":""}],"container-title":"European Child and Adolescent Psychiatry","id":"ITEM-2","issue":"3","issued":{"date-parts":[["2019"]]},"page":"399-414","publisher":"Springer Berlin Heidelberg","title":"Towards a comprehensive assessment of school absenteeism: development and initial validation of the inventory of school attendance problems","type":"article-journal","volume":"28"},"uris":["http://www.mendeley.com/documents/?uuid=401d2871-2425-4575-892a-d665ace91a1a"]},{"id":"ITEM-3","itemData":{"DOI":"10.1186/s13034-020-00325-7","ISSN":"17532000","abstract":"Background: Few studies have explored school refusal in children with autism spectrum disorder (ASD), despite being considered a serious problem. One of the leading causes of school refusal is bullying, which is defined by the feelings of students who are bullied or not, and psychological suffering caused by a psychological or physical attack. This study investigated the characteristics of school refusal in children with ASD. Methods: A total of 94 outpatients with school refusal and ASD and 143 outpatients with school refusal without ASD aged 6-18 years were included. Chi squared tests and Mann-Whitney tests were used to compare the characteristics of school refusal in children with and without ASD. Univariate and multivariate logistic regression analyses were performed to analyze the reasons for school refusal in children with ASD by sex. Results: School refusal significantly occurred earlier in children with ASD than in those without. In addition, \"bullying\" was significantly associated with school refusal in both boys and girls with ASD. Conclusions: These findings suggest that school refusal should be monitored early in children with ASD. The importance of recognizing bullying among children with ASD should be highlighted as an opportunity for early intervention.","author":[{"dropping-particle":"","family":"Ochi","given":"Marina","non-dropping-particle":"","parse-names":false,"suffix":""},{"dropping-particle":"","family":"Kawabe","given":"Kentaro","non-dropping-particle":"","parse-names":false,"suffix":""},{"dropping-particle":"","family":"Ochi","given":"Shinichiro","non-dropping-particle":"","parse-names":false,"suffix":""},{"dropping-particle":"","family":"Miyama","given":"Tomoe","non-dropping-particle":"","parse-names":false,"suffix":""},{"dropping-particle":"","family":"Horiuchi","given":"Fumie","non-dropping-particle":"","parse-names":false,"suffix":""},{"dropping-particle":"","family":"Ueno","given":"Shu Ichi","non-dropping-particle":"","parse-names":false,"suffix":""}],"container-title":"Child and Adolescent Psychiatry and Mental Health","id":"ITEM-3","issue":"1","issued":{"date-parts":[["2020"]]},"page":"1-7","publisher":"BioMed Central","title":"School refusal and bullying in children with autism spectrum disorder","type":"article-journal","volume":"14"},"uris":["http://www.mendeley.com/documents/?uuid=a88dfce1-2dd7-420d-bf5d-cd9656d92b62"]},{"id":"ITEM-4","itemData":{"DOI":"10.3389/fpsyg.2019.01916","ISSN":"16641078","abstract":"Cyberbullying is a common relational problem having negative repercussions on the academic performance of adolescents. Numerous questions remain to be answered with regard to the relationship between cyberbullying and school refusal behavior. This study examines school refusal profiles (measured by School Refusal Assessment Scale-Revised) and assesses whether these profiles vary with respect to the level of victimization, aggression, aggression-victimization, and observation of cyberbullying (measured with the Screening of Harassment among Peers). The sample consisted of 1,102 Spanish high school students, aged 12–18 (M = 14.30, SD = 1.71). Latent class analysis revealed three school refusal behavior profiles: non-school refusal behavior, school refusal behavior by negative reinforcements (oriented to the avoidance of social evaluation and negative affectivity in school situations), and school refusal behavior by positive reinforcements (oriented to obtaining the attention of others with significant or tangible reinforcements). The ANOVA found statistically significant differences for all cyberbullying behaviors. Students with school refusal by negative reinforcements had significantly higher mean scores as compared to the other profiles in victimization, aggression, aggression-victimization, and observation behaviors, while the levels of cyberbullying were similar between students without school refusal and students with school refusal behavior by positive reinforcements. These findings underscore the need to consider priority interventions to prevent cyberbullying in children who refuse school for the purpose of avoiding situations of anxiety and negative emotions.","author":[{"dropping-particle":"","family":"Delgado","given":"B.","non-dropping-particle":"","parse-names":false,"suffix":""},{"dropping-particle":"","family":"Martinez-Monteagudo","given":"M. C.","non-dropping-particle":"","parse-names":false,"suffix":""},{"dropping-particle":"","family":"Ruiz-Esteban","given":"C.","non-dropping-particle":"","parse-names":false,"suffix":""},{"dropping-particle":"","family":"Rubio","given":"E.","non-dropping-particle":"","parse-names":false,"suffix":""}],"container-title":"Frontiers in Psychology","id":"ITEM-4","issue":"AUG","issued":{"date-parts":[["2019"]]},"title":"Latent class analysis of school refusal behavior and its relationship with cyberbullying during adolescence","type":"article-journal","volume":"10"},"uris":["http://www.mendeley.com/documents/?uuid=13cd7c4a-5eae-4d79-90d4-23a030b57daf"]},{"id":"ITEM-5","itemData":{"DOI":"10.3389/fpsyg.2019.01471","ISSN":"16641078","abstract":"School refusal (SR) is a complex problem that may be caused by different risk factors such as individual and contextual factors (Kearney, 2007; Maynard et al., 2018; Heyne et al., 2019). These mechanisms can be described in the context of self-determination theory (SDT). For these reasons, the purpose of the present study is investigate the relationship between teacher perceived psychological control and support, psychological basic needs, SR behavior, and academic achievement, on adolescent sample. It is hypothesized that teacher perceived psychological control and autonomy support play a role on need frustration and need satisfaction; in turn, need satisfaction could reduce while need frustration could promote SR behavior and number of absences. Finally, SR behavior and number of absences could reduce academic achievement. 263 students (196 females, 67 males) with an average age of 16.14 (SD = 1.35; range 13-20 years). SEM analyses with observed variables have shown that the final model fit well the data, χ2(8) = 16.34, p = 0.04, CFI = 0.96, SRMR = 0.04, RMSEA (90% CI) = 0.06 (0.01; 0.10), showing the following significant path: need satisfaction was positively predicted by perceived teacher support and negatively predicted by teacher perceived psychological control; need frustration was positively predicted by teacher perceived psychological control; number of absences was negatively predicted by need satisfaction; SR was positively predicted by need frustration; school achievement was negatively predicted by SR and number of absences. These results have several implications for the school context and the deepening of the construct of SR and absenteeism.","author":[{"dropping-particle":"","family":"Filippello","given":"Pina","non-dropping-particle":"","parse-names":false,"suffix":""},{"dropping-particle":"","family":"Buzzai","given":"Caterina","non-dropping-particle":"","parse-names":false,"suffix":""},{"dropping-particle":"","family":"Costa","given":"Sebastiano","non-dropping-particle":"","parse-names":false,"suffix":""},{"dropping-particle":"","family":"Sorrenti","given":"Luana","non-dropping-particle":"","parse-names":false,"suffix":""}],"container-title":"Frontiers in Psychology","id":"ITEM-5","issue":"JUN","issued":{"date-parts":[["2019"]]},"page":"1-9","title":"School refusal and absenteeism: Perception of teacher behaviors, psychological basic needs, and academic achievement","type":"article-journal","volume":"10"},"uris":["http://www.mendeley.com/documents/?uuid=45541f7d-30d7-478d-bf2d-a1b05e61036b"]}],"mendeley":{"formattedCitation":"(Ashraf et al., 2021; Delgado et al., 2019; Filippello et al., 2019; Knollmann et al., 2019; Ochi et al., 2020)","plainTextFormattedCitation":"(Ashraf et al., 2021; Delgado et al., 2019; Filippello et al., 2019; Knollmann et al., 2019; Ochi et al., 2020)","previouslyFormattedCitation":"(Ashraf et al., 2021; Delgado et al., 2019; Filippello et al., 2019; Knollmann et al., 2019; Ochi et al., 2020)"},"properties":{"noteIndex":0},"schema":"https://github.com/citation-style-language/schema/raw/master/csl-citation.json"}</w:instrText>
      </w:r>
      <w:r w:rsidR="00EE7858">
        <w:rPr>
          <w:rFonts w:ascii="Arial" w:hAnsi="Arial" w:cs="Arial"/>
          <w:sz w:val="20"/>
          <w:szCs w:val="20"/>
          <w:lang w:val="en-US"/>
        </w:rPr>
        <w:fldChar w:fldCharType="separate"/>
      </w:r>
      <w:r w:rsidR="00EE7858" w:rsidRPr="00EE7858">
        <w:rPr>
          <w:rFonts w:ascii="Arial" w:hAnsi="Arial" w:cs="Arial"/>
          <w:noProof/>
          <w:sz w:val="20"/>
          <w:szCs w:val="20"/>
          <w:lang w:val="en-US"/>
        </w:rPr>
        <w:t>(Ashraf et al., 2021; Delgado et al., 2019; Filippello et al., 2019; Knollmann et al., 2019; Ochi et al., 2020)</w:t>
      </w:r>
      <w:r w:rsidR="00EE7858">
        <w:rPr>
          <w:rFonts w:ascii="Arial" w:hAnsi="Arial" w:cs="Arial"/>
          <w:sz w:val="20"/>
          <w:szCs w:val="20"/>
          <w:lang w:val="en-US"/>
        </w:rPr>
        <w:fldChar w:fldCharType="end"/>
      </w:r>
      <w:r w:rsidRPr="00C430D4">
        <w:rPr>
          <w:rFonts w:ascii="Arial" w:hAnsi="Arial" w:cs="Arial"/>
          <w:sz w:val="20"/>
          <w:szCs w:val="20"/>
        </w:rPr>
        <w:t>.</w:t>
      </w:r>
    </w:p>
    <w:p w:rsidR="00C430D4" w:rsidRPr="00C430D4" w:rsidRDefault="00C430D4" w:rsidP="00C430D4">
      <w:pPr>
        <w:spacing w:after="0" w:line="360" w:lineRule="auto"/>
        <w:ind w:firstLine="720"/>
        <w:jc w:val="both"/>
        <w:rPr>
          <w:rFonts w:ascii="Arial" w:hAnsi="Arial" w:cs="Arial"/>
          <w:sz w:val="20"/>
          <w:szCs w:val="20"/>
        </w:rPr>
      </w:pPr>
      <w:r w:rsidRPr="00C430D4">
        <w:rPr>
          <w:rFonts w:ascii="Arial" w:hAnsi="Arial" w:cs="Arial"/>
          <w:sz w:val="20"/>
          <w:szCs w:val="20"/>
        </w:rPr>
        <w:t xml:space="preserve">Among the various causes of school refusal above, the most difficult cause of school refusal, according to the BK teacher, is school refusal which is caused by traumatic events experienced by the counselee combined with other causes such as fear and anxiety due to not being able to attend lessons. This is in line with the opinion of Brill (2009) </w:t>
      </w:r>
      <w:r w:rsidR="00A72C2E">
        <w:rPr>
          <w:rFonts w:ascii="Arial" w:hAnsi="Arial" w:cs="Arial"/>
          <w:sz w:val="20"/>
          <w:szCs w:val="20"/>
          <w:lang w:val="en-US"/>
        </w:rPr>
        <w:t>who</w:t>
      </w:r>
      <w:r w:rsidRPr="00C430D4">
        <w:rPr>
          <w:rFonts w:ascii="Arial" w:hAnsi="Arial" w:cs="Arial"/>
          <w:sz w:val="20"/>
          <w:szCs w:val="20"/>
        </w:rPr>
        <w:t xml:space="preserve"> states that one trigger for school refusal is a traumatic event or incident that has been experienced by students, it takes a great effort if school refusal is caused by traumatic events experienced by students</w:t>
      </w:r>
      <w:r w:rsidR="00EE7858">
        <w:rPr>
          <w:rFonts w:ascii="Arial" w:hAnsi="Arial" w:cs="Arial"/>
          <w:sz w:val="20"/>
          <w:szCs w:val="20"/>
          <w:lang w:val="en-US"/>
        </w:rPr>
        <w:t xml:space="preserve"> </w:t>
      </w:r>
      <w:r w:rsidR="00EE7858">
        <w:rPr>
          <w:rFonts w:ascii="Arial" w:hAnsi="Arial" w:cs="Arial"/>
          <w:sz w:val="20"/>
          <w:szCs w:val="20"/>
          <w:lang w:val="en-US"/>
        </w:rPr>
        <w:fldChar w:fldCharType="begin" w:fldLock="1"/>
      </w:r>
      <w:r w:rsidR="00EE7858">
        <w:rPr>
          <w:rFonts w:ascii="Arial" w:hAnsi="Arial" w:cs="Arial"/>
          <w:sz w:val="20"/>
          <w:szCs w:val="20"/>
          <w:lang w:val="en-US"/>
        </w:rPr>
        <w:instrText>ADDIN CSL_CITATION {"citationItems":[{"id":"ITEM-1","itemData":{"ISBN":"9781728149080","abstract":"Date of conference: 4-5 October 2019; conference location: Malang, Indonesia.","author":[{"dropping-particle":"","family":"Nursalim","given":"Mochamad; Triyono","non-dropping-particle":"","parse-names":false,"suffix":""}],"container-title":"The Effectiveness of Brief Ego State Cognitive Behavior Counseling to Reduce PTSD Symptoms in Victims of Natural Disasters in Central Sulawesi","id":"ITEM-1","issued":{"date-parts":[["2019","10","4"]]},"page":"131-134","publisher-place":"Malang","title":"2019 5th International Conference on Education and Technology (ICET).","type":"paper-conference"},"uris":["http://www.mendeley.com/documents/?uuid=e380fe2d-ee9d-37e8-bddf-7140c4ee0531"]}],"mendeley":{"formattedCitation":"(Nursalim, 2019)","plainTextFormattedCitation":"(Nursalim, 2019)","previouslyFormattedCitation":"(Nursalim, 2019)"},"properties":{"noteIndex":0},"schema":"https://github.com/citation-style-language/schema/raw/master/csl-citation.json"}</w:instrText>
      </w:r>
      <w:r w:rsidR="00EE7858">
        <w:rPr>
          <w:rFonts w:ascii="Arial" w:hAnsi="Arial" w:cs="Arial"/>
          <w:sz w:val="20"/>
          <w:szCs w:val="20"/>
          <w:lang w:val="en-US"/>
        </w:rPr>
        <w:fldChar w:fldCharType="separate"/>
      </w:r>
      <w:r w:rsidR="00EE7858" w:rsidRPr="00EE7858">
        <w:rPr>
          <w:rFonts w:ascii="Arial" w:hAnsi="Arial" w:cs="Arial"/>
          <w:noProof/>
          <w:sz w:val="20"/>
          <w:szCs w:val="20"/>
          <w:lang w:val="en-US"/>
        </w:rPr>
        <w:t>(Nursalim, 2019)</w:t>
      </w:r>
      <w:r w:rsidR="00EE7858">
        <w:rPr>
          <w:rFonts w:ascii="Arial" w:hAnsi="Arial" w:cs="Arial"/>
          <w:sz w:val="20"/>
          <w:szCs w:val="20"/>
          <w:lang w:val="en-US"/>
        </w:rPr>
        <w:fldChar w:fldCharType="end"/>
      </w:r>
      <w:r w:rsidRPr="00C430D4">
        <w:rPr>
          <w:rFonts w:ascii="Arial" w:hAnsi="Arial" w:cs="Arial"/>
          <w:sz w:val="20"/>
          <w:szCs w:val="20"/>
        </w:rPr>
        <w:t>.</w:t>
      </w:r>
    </w:p>
    <w:p w:rsidR="00C430D4" w:rsidRPr="00C430D4" w:rsidRDefault="00C430D4" w:rsidP="00C430D4">
      <w:pPr>
        <w:spacing w:after="0" w:line="360" w:lineRule="auto"/>
        <w:ind w:firstLine="720"/>
        <w:jc w:val="both"/>
        <w:rPr>
          <w:rFonts w:ascii="Arial" w:hAnsi="Arial" w:cs="Arial"/>
          <w:sz w:val="20"/>
          <w:szCs w:val="20"/>
        </w:rPr>
      </w:pPr>
      <w:r w:rsidRPr="00C430D4">
        <w:rPr>
          <w:rFonts w:ascii="Arial" w:hAnsi="Arial" w:cs="Arial"/>
          <w:sz w:val="20"/>
          <w:szCs w:val="20"/>
        </w:rPr>
        <w:t xml:space="preserve">Students who experience school refusal triggered by traumatic events assume that life is lived as </w:t>
      </w:r>
      <w:r w:rsidR="00A72C2E">
        <w:rPr>
          <w:rFonts w:ascii="Arial" w:hAnsi="Arial" w:cs="Arial"/>
          <w:sz w:val="20"/>
          <w:szCs w:val="20"/>
          <w:lang w:val="en-US"/>
        </w:rPr>
        <w:t>empty a</w:t>
      </w:r>
      <w:r w:rsidRPr="00C430D4">
        <w:rPr>
          <w:rFonts w:ascii="Arial" w:hAnsi="Arial" w:cs="Arial"/>
          <w:sz w:val="20"/>
          <w:szCs w:val="20"/>
        </w:rPr>
        <w:t xml:space="preserve">nd meaningless. In addition, there are behavioral disorders, marked by decreased physical activity, such as minimal body movement. For example, sitting for hours and repetitive behavior (repeated). While social disturbances, namely separating themselves from the environment, withdrawing, aggressive, prejudice, conflict with the environment, feeling rejected or otherwise very dominant. According to the refusal school counseling teacher, which was triggered by a traumatic event, is categorized as difficult, because many school counselors have not mastered how to deal with trauma, including handling problems related to past events that have not been resolved (unfinished business). In addition, many </w:t>
      </w:r>
      <w:r w:rsidR="00531830">
        <w:rPr>
          <w:rFonts w:ascii="Arial" w:hAnsi="Arial" w:cs="Arial"/>
          <w:sz w:val="20"/>
          <w:szCs w:val="20"/>
          <w:lang w:val="en-US"/>
        </w:rPr>
        <w:t xml:space="preserve">school </w:t>
      </w:r>
      <w:r w:rsidR="00A72C2E">
        <w:rPr>
          <w:rFonts w:ascii="Arial" w:hAnsi="Arial" w:cs="Arial"/>
          <w:sz w:val="20"/>
          <w:szCs w:val="20"/>
          <w:lang w:val="en-US"/>
        </w:rPr>
        <w:t>counselors</w:t>
      </w:r>
      <w:r w:rsidRPr="00C430D4">
        <w:rPr>
          <w:rFonts w:ascii="Arial" w:hAnsi="Arial" w:cs="Arial"/>
          <w:sz w:val="20"/>
          <w:szCs w:val="20"/>
        </w:rPr>
        <w:t xml:space="preserve"> do not know how to handle abrasion events (intense emotional release).</w:t>
      </w:r>
    </w:p>
    <w:p w:rsidR="00C430D4" w:rsidRPr="00C430D4" w:rsidRDefault="00C430D4" w:rsidP="00C430D4">
      <w:pPr>
        <w:spacing w:after="0" w:line="360" w:lineRule="auto"/>
        <w:ind w:firstLine="720"/>
        <w:jc w:val="both"/>
        <w:rPr>
          <w:rFonts w:ascii="Arial" w:hAnsi="Arial" w:cs="Arial"/>
          <w:sz w:val="20"/>
          <w:szCs w:val="20"/>
        </w:rPr>
      </w:pPr>
      <w:r w:rsidRPr="00C430D4">
        <w:rPr>
          <w:rFonts w:ascii="Arial" w:hAnsi="Arial" w:cs="Arial"/>
          <w:sz w:val="20"/>
          <w:szCs w:val="20"/>
        </w:rPr>
        <w:t>ES counseling is a counseling model that seeks to construct past events more positively and raises the counselee's courage to face current and future realities more adaptively. The main stages of ES counseling include; a) relationship building and problem assessment, b) goal formulation, and strategy selection, c) relaxation exercises, d) mapping ego states, e) processing and dealing with injured egos, reconciling egos f) in vivo practice, g) evaluation, follow-up</w:t>
      </w:r>
      <w:r w:rsidR="00A72C2E">
        <w:rPr>
          <w:rFonts w:ascii="Arial" w:hAnsi="Arial" w:cs="Arial"/>
          <w:sz w:val="20"/>
          <w:szCs w:val="20"/>
          <w:lang w:val="en-US"/>
        </w:rPr>
        <w:t>,</w:t>
      </w:r>
      <w:r w:rsidRPr="00C430D4">
        <w:rPr>
          <w:rFonts w:ascii="Arial" w:hAnsi="Arial" w:cs="Arial"/>
          <w:sz w:val="20"/>
          <w:szCs w:val="20"/>
        </w:rPr>
        <w:t xml:space="preserve"> and termination.</w:t>
      </w:r>
    </w:p>
    <w:p w:rsidR="00C430D4" w:rsidRDefault="00C430D4" w:rsidP="00C430D4">
      <w:pPr>
        <w:spacing w:after="0" w:line="360" w:lineRule="auto"/>
        <w:ind w:firstLine="720"/>
        <w:jc w:val="both"/>
        <w:rPr>
          <w:rFonts w:ascii="Arial" w:hAnsi="Arial" w:cs="Arial"/>
          <w:sz w:val="20"/>
          <w:szCs w:val="20"/>
        </w:rPr>
      </w:pPr>
      <w:r w:rsidRPr="00C430D4">
        <w:rPr>
          <w:rFonts w:ascii="Arial" w:hAnsi="Arial" w:cs="Arial"/>
          <w:sz w:val="20"/>
          <w:szCs w:val="20"/>
        </w:rPr>
        <w:t>This study shows that there are "abreactions" in every counselee, and the counselor can manage the abreacion well so that after the abreactian occurs a very intense emotional release occurs, and since then the counselee feels more relaxed, more satisfied, and more willing to accept traumatic memories. past. The results of observations also show that the counselor has succeeded in facilitating communication between ego states, this is what causes the injured ego state to be reconciled by a more mature ego state, so that the counselee is able to reconstruct past memories.</w:t>
      </w:r>
    </w:p>
    <w:p w:rsidR="00C430D4" w:rsidRPr="00C430D4" w:rsidRDefault="00C430D4" w:rsidP="00A72C2E">
      <w:pPr>
        <w:pStyle w:val="HeadBody"/>
        <w:ind w:firstLine="720"/>
        <w:jc w:val="both"/>
        <w:rPr>
          <w:b w:val="0"/>
        </w:rPr>
      </w:pPr>
      <w:r w:rsidRPr="00C430D4">
        <w:rPr>
          <w:b w:val="0"/>
        </w:rPr>
        <w:t xml:space="preserve">Clinically, there is a sign of feeling "calm" in every counselee after a dialogue between the injured ego state and a more mature or nurturing ego state. An important element at the time of abreactian is the counselor is able to release the emotions that are bound by the overflow of </w:t>
      </w:r>
      <w:r w:rsidRPr="00C430D4">
        <w:rPr>
          <w:b w:val="0"/>
        </w:rPr>
        <w:lastRenderedPageBreak/>
        <w:t>emotions, speech and behavior. The release of emotions that occur naturally will bring the counselee to calm on the face and posture. This activity is able to reconstruct the counselee's personality to be strong and resilient.</w:t>
      </w:r>
    </w:p>
    <w:p w:rsidR="00C430D4" w:rsidRPr="00C430D4" w:rsidRDefault="00C430D4" w:rsidP="00A72C2E">
      <w:pPr>
        <w:pStyle w:val="HeadBody"/>
        <w:ind w:firstLine="720"/>
        <w:jc w:val="both"/>
        <w:rPr>
          <w:b w:val="0"/>
        </w:rPr>
      </w:pPr>
      <w:r w:rsidRPr="00C430D4">
        <w:rPr>
          <w:b w:val="0"/>
        </w:rPr>
        <w:t>Among the stages of ES Counseling, which is considered the most crucial is the stage of processing and dealing with the injured ego, this stage is often present because at this stage there is an "</w:t>
      </w:r>
      <w:r w:rsidR="00A72C2E">
        <w:rPr>
          <w:b w:val="0"/>
          <w:lang w:val="en-US"/>
        </w:rPr>
        <w:t>abreaction</w:t>
      </w:r>
      <w:r w:rsidRPr="00C430D4">
        <w:rPr>
          <w:b w:val="0"/>
        </w:rPr>
        <w:t xml:space="preserve">" </w:t>
      </w:r>
      <w:r w:rsidR="00A72C2E">
        <w:rPr>
          <w:b w:val="0"/>
          <w:lang w:val="en-US"/>
        </w:rPr>
        <w:t xml:space="preserve"> </w:t>
      </w:r>
      <w:r w:rsidRPr="00C430D4">
        <w:rPr>
          <w:b w:val="0"/>
        </w:rPr>
        <w:t>term used by Josef Breuer and Sigmund Freud (1985), which is defined as letting go intense emotion followed by the expression of a traumatic emotion with the aim of achieving a resolution. At this stage</w:t>
      </w:r>
      <w:r w:rsidR="00A72C2E">
        <w:rPr>
          <w:b w:val="0"/>
          <w:lang w:val="en-US"/>
        </w:rPr>
        <w:t>,</w:t>
      </w:r>
      <w:r w:rsidRPr="00C430D4">
        <w:rPr>
          <w:b w:val="0"/>
        </w:rPr>
        <w:t xml:space="preserve"> the counselor must be fully prepared and able to cope with the client's emotional outbursts and facilitate the whole process of abreaction in a smooth, structured, and effective manner. If not handled properly, the abreaction will actually make the counselee more "chaotic". The skills to overcome this</w:t>
      </w:r>
      <w:r w:rsidR="00A72C2E">
        <w:rPr>
          <w:b w:val="0"/>
        </w:rPr>
        <w:t xml:space="preserve"> abreaction need to be trained </w:t>
      </w:r>
      <w:proofErr w:type="spellStart"/>
      <w:r w:rsidR="00A72C2E">
        <w:rPr>
          <w:b w:val="0"/>
          <w:lang w:val="en-US"/>
        </w:rPr>
        <w:t>i</w:t>
      </w:r>
      <w:proofErr w:type="spellEnd"/>
      <w:r w:rsidRPr="00C430D4">
        <w:rPr>
          <w:b w:val="0"/>
        </w:rPr>
        <w:t>n counselors and prospective school counselors, as one of the counseling skills.</w:t>
      </w:r>
    </w:p>
    <w:p w:rsidR="00C430D4" w:rsidRDefault="00C430D4" w:rsidP="00C430D4">
      <w:pPr>
        <w:pStyle w:val="HeadBody"/>
        <w:jc w:val="both"/>
        <w:rPr>
          <w:b w:val="0"/>
        </w:rPr>
      </w:pPr>
      <w:r w:rsidRPr="00C430D4">
        <w:rPr>
          <w:b w:val="0"/>
        </w:rPr>
        <w:t>Despite the limitations of this study, the results were very positive in reducing school refusal triggered by traumatic events. ES counseling provides fast, effective</w:t>
      </w:r>
      <w:r w:rsidR="00A72C2E">
        <w:rPr>
          <w:b w:val="0"/>
          <w:lang w:val="en-US"/>
        </w:rPr>
        <w:t>,</w:t>
      </w:r>
      <w:r w:rsidRPr="00C430D4">
        <w:rPr>
          <w:b w:val="0"/>
        </w:rPr>
        <w:t xml:space="preserve"> and efficacious treatment in dealing with clients whose school refusal is triggered by traumatic events, through </w:t>
      </w:r>
      <w:r w:rsidR="00DF28F6">
        <w:rPr>
          <w:b w:val="0"/>
          <w:lang w:val="en-US"/>
        </w:rPr>
        <w:t xml:space="preserve">the </w:t>
      </w:r>
      <w:r w:rsidRPr="00C430D4">
        <w:rPr>
          <w:b w:val="0"/>
        </w:rPr>
        <w:t>reconstruction of traumatic memories.</w:t>
      </w:r>
    </w:p>
    <w:p w:rsidR="00C430D4" w:rsidRDefault="00C430D4" w:rsidP="00C430D4">
      <w:pPr>
        <w:pStyle w:val="HeadBody"/>
        <w:rPr>
          <w:b w:val="0"/>
        </w:rPr>
      </w:pPr>
    </w:p>
    <w:p w:rsidR="009E27D3" w:rsidRPr="001415DD" w:rsidRDefault="009E27D3" w:rsidP="00C430D4">
      <w:pPr>
        <w:pStyle w:val="HeadBody"/>
      </w:pPr>
      <w:r>
        <w:rPr>
          <w:lang w:val="en-US"/>
        </w:rPr>
        <w:t>CONCLUSION</w:t>
      </w:r>
    </w:p>
    <w:p w:rsidR="009E27D3" w:rsidRDefault="009E27D3" w:rsidP="009E27D3">
      <w:pPr>
        <w:pStyle w:val="Body"/>
      </w:pPr>
      <w:r>
        <w:t xml:space="preserve">Based on the findings of the analysis and discussion of the research data, it can be concluded as follows. First, </w:t>
      </w:r>
      <w:r w:rsidR="00DF28F6" w:rsidRPr="00DF28F6">
        <w:t xml:space="preserve">The triggering factors of the school refusal i.e.: a) the child has anxiety, such as (separation anxiety), b) the fear experienced by children related to academic activities, c) a parent is sick or conflict in the family, d) the intensity of stress while at school in caused because of teachers or friends at school e) traumatic experience triggered by bullying. </w:t>
      </w:r>
      <w:r w:rsidR="00DF28F6" w:rsidRPr="00DF28F6">
        <w:rPr>
          <w:lang w:val="en-US"/>
        </w:rPr>
        <w:t>Second</w:t>
      </w:r>
      <w:r w:rsidR="00DF28F6">
        <w:rPr>
          <w:lang w:val="en-US"/>
        </w:rPr>
        <w:t xml:space="preserve">, </w:t>
      </w:r>
      <w:r>
        <w:t>ES counseling can significantly reduce school refusal scores for students at Islamic boarding schools. The hypothesis which states that ES (Ego State) counseling can reduce strike scores for students at Islamic boarding schools is acceptable.</w:t>
      </w:r>
      <w:r w:rsidR="00DF28F6">
        <w:rPr>
          <w:lang w:val="en-US"/>
        </w:rPr>
        <w:t xml:space="preserve"> Third</w:t>
      </w:r>
      <w:r>
        <w:t xml:space="preserve">, ES counseling was proven to have convincing efficacy, it was proven that there had been a known change in the level of the score in the baseline condition, decreased in the treatment score, and also </w:t>
      </w:r>
      <w:r w:rsidR="00266743">
        <w:rPr>
          <w:lang w:val="en-US"/>
        </w:rPr>
        <w:t>a decrease</w:t>
      </w:r>
      <w:r>
        <w:t xml:space="preserve"> in the withdrawal condition, both on measurements using the SRC (school refusal </w:t>
      </w:r>
      <w:r w:rsidR="00266743">
        <w:rPr>
          <w:lang w:val="en-US"/>
        </w:rPr>
        <w:t>checklist</w:t>
      </w:r>
      <w:r>
        <w:t>). Likewise, there is a change in slope, which is recognized from the trend of scores which variably show a decrease in the score from the baseline stage to the treatment stage and a stable trend in the withdrawal stage, in the SRC measurement. With the change in level and adequate slope, it means that ES counseling is significantly effective to be used to solve school refusal problems.</w:t>
      </w:r>
    </w:p>
    <w:p w:rsidR="00A10707" w:rsidRDefault="009E27D3" w:rsidP="009E27D3">
      <w:pPr>
        <w:pStyle w:val="Body"/>
      </w:pPr>
      <w:r>
        <w:t xml:space="preserve">Based on the results of this study, it is recommended: First, for other researchers, conduct further research in the form of research on the effectiveness of ES counseling, with a larger number of subjects and from various levels of elementary, junior high </w:t>
      </w:r>
      <w:r w:rsidR="00266743">
        <w:rPr>
          <w:lang w:val="en-US"/>
        </w:rPr>
        <w:t>and</w:t>
      </w:r>
      <w:r>
        <w:rPr>
          <w:lang w:val="en-US"/>
        </w:rPr>
        <w:t>,</w:t>
      </w:r>
      <w:r>
        <w:t>d college students,</w:t>
      </w:r>
    </w:p>
    <w:p w:rsidR="00983DE8" w:rsidRDefault="00983DE8" w:rsidP="00983DE8">
      <w:pPr>
        <w:spacing w:after="0" w:line="360" w:lineRule="auto"/>
        <w:ind w:firstLine="567"/>
        <w:jc w:val="both"/>
        <w:rPr>
          <w:rFonts w:ascii="Arial" w:hAnsi="Arial" w:cs="Arial"/>
          <w:sz w:val="20"/>
          <w:szCs w:val="20"/>
        </w:rPr>
      </w:pPr>
    </w:p>
    <w:p w:rsidR="00983DE8" w:rsidRDefault="000D5CA8" w:rsidP="009002A3">
      <w:pPr>
        <w:pStyle w:val="HeadBody"/>
      </w:pPr>
      <w:r w:rsidRPr="000D5CA8">
        <w:t>REFERENCES</w:t>
      </w:r>
    </w:p>
    <w:p w:rsidR="00DB3D33" w:rsidRPr="00DB3D33" w:rsidRDefault="004658B9" w:rsidP="00DB3D33">
      <w:pPr>
        <w:widowControl w:val="0"/>
        <w:autoSpaceDE w:val="0"/>
        <w:autoSpaceDN w:val="0"/>
        <w:adjustRightInd w:val="0"/>
        <w:spacing w:after="0" w:line="360" w:lineRule="auto"/>
        <w:ind w:left="480" w:hanging="480"/>
        <w:rPr>
          <w:rFonts w:ascii="Arial" w:hAnsi="Arial" w:cs="Arial"/>
          <w:noProof/>
          <w:sz w:val="20"/>
          <w:szCs w:val="24"/>
        </w:rPr>
      </w:pPr>
      <w:r>
        <w:fldChar w:fldCharType="begin" w:fldLock="1"/>
      </w:r>
      <w:r>
        <w:instrText xml:space="preserve">ADDIN Mendeley Bibliography CSL_BIBLIOGRAPHY </w:instrText>
      </w:r>
      <w:r>
        <w:fldChar w:fldCharType="separate"/>
      </w:r>
      <w:r w:rsidR="00DB3D33" w:rsidRPr="00DB3D33">
        <w:rPr>
          <w:rFonts w:ascii="Arial" w:hAnsi="Arial" w:cs="Arial"/>
          <w:noProof/>
          <w:sz w:val="20"/>
          <w:szCs w:val="24"/>
        </w:rPr>
        <w:t xml:space="preserve">Abramowitz, E. G., &amp; Torem, M. S. (2018). The Roots and Evolution of Ego-State Theory and </w:t>
      </w:r>
      <w:r w:rsidR="00DB3D33" w:rsidRPr="00DB3D33">
        <w:rPr>
          <w:rFonts w:ascii="Arial" w:hAnsi="Arial" w:cs="Arial"/>
          <w:noProof/>
          <w:sz w:val="20"/>
          <w:szCs w:val="24"/>
        </w:rPr>
        <w:lastRenderedPageBreak/>
        <w:t xml:space="preserve">Therapy. </w:t>
      </w:r>
      <w:r w:rsidR="00DB3D33" w:rsidRPr="00DB3D33">
        <w:rPr>
          <w:rFonts w:ascii="Arial" w:hAnsi="Arial" w:cs="Arial"/>
          <w:i/>
          <w:iCs/>
          <w:noProof/>
          <w:sz w:val="20"/>
          <w:szCs w:val="24"/>
        </w:rPr>
        <w:t>International Journal of Clinical and Experimental Hypnosis</w:t>
      </w:r>
      <w:r w:rsidR="00DB3D33" w:rsidRPr="00DB3D33">
        <w:rPr>
          <w:rFonts w:ascii="Arial" w:hAnsi="Arial" w:cs="Arial"/>
          <w:noProof/>
          <w:sz w:val="20"/>
          <w:szCs w:val="24"/>
        </w:rPr>
        <w:t xml:space="preserve">, </w:t>
      </w:r>
      <w:r w:rsidR="00DB3D33" w:rsidRPr="00DB3D33">
        <w:rPr>
          <w:rFonts w:ascii="Arial" w:hAnsi="Arial" w:cs="Arial"/>
          <w:i/>
          <w:iCs/>
          <w:noProof/>
          <w:sz w:val="20"/>
          <w:szCs w:val="24"/>
        </w:rPr>
        <w:t>66</w:t>
      </w:r>
      <w:r w:rsidR="00DB3D33" w:rsidRPr="00DB3D33">
        <w:rPr>
          <w:rFonts w:ascii="Arial" w:hAnsi="Arial" w:cs="Arial"/>
          <w:noProof/>
          <w:sz w:val="20"/>
          <w:szCs w:val="24"/>
        </w:rPr>
        <w:t>(4), 353–370. https://doi.org/10.1080/00207144.2018.1494435</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Ashraf, H., Salehi, A., Sousani, M., &amp; Sharifi, M. H. (2021). Use of complementary alternative medicine and the associated factors among patients with depression. </w:t>
      </w:r>
      <w:r w:rsidRPr="00DB3D33">
        <w:rPr>
          <w:rFonts w:ascii="Arial" w:hAnsi="Arial" w:cs="Arial"/>
          <w:i/>
          <w:iCs/>
          <w:noProof/>
          <w:sz w:val="20"/>
          <w:szCs w:val="24"/>
        </w:rPr>
        <w:t>Evidence-Based Complementary and Alternative Medicine</w:t>
      </w:r>
      <w:r w:rsidRPr="00DB3D33">
        <w:rPr>
          <w:rFonts w:ascii="Arial" w:hAnsi="Arial" w:cs="Arial"/>
          <w:noProof/>
          <w:sz w:val="20"/>
          <w:szCs w:val="24"/>
        </w:rPr>
        <w:t xml:space="preserve">, </w:t>
      </w:r>
      <w:r w:rsidRPr="00DB3D33">
        <w:rPr>
          <w:rFonts w:ascii="Arial" w:hAnsi="Arial" w:cs="Arial"/>
          <w:i/>
          <w:iCs/>
          <w:noProof/>
          <w:sz w:val="20"/>
          <w:szCs w:val="24"/>
        </w:rPr>
        <w:t>2021</w:t>
      </w:r>
      <w:r w:rsidRPr="00DB3D33">
        <w:rPr>
          <w:rFonts w:ascii="Arial" w:hAnsi="Arial" w:cs="Arial"/>
          <w:noProof/>
          <w:sz w:val="20"/>
          <w:szCs w:val="24"/>
        </w:rPr>
        <w:t>. https://doi.org/10.1155/2021/6626394</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Barabasz, A. F., Barabasz, M., &amp; Watkins, J. G. (2011). Single-session manualized ego state therapy (EST) for combat stress injury, PTSD, and ASD, part 1: The theory. </w:t>
      </w:r>
      <w:r w:rsidRPr="00DB3D33">
        <w:rPr>
          <w:rFonts w:ascii="Arial" w:hAnsi="Arial" w:cs="Arial"/>
          <w:i/>
          <w:iCs/>
          <w:noProof/>
          <w:sz w:val="20"/>
          <w:szCs w:val="24"/>
        </w:rPr>
        <w:t>International Journal of Clinical and Experimental Hypnosis</w:t>
      </w:r>
      <w:r w:rsidRPr="00DB3D33">
        <w:rPr>
          <w:rFonts w:ascii="Arial" w:hAnsi="Arial" w:cs="Arial"/>
          <w:noProof/>
          <w:sz w:val="20"/>
          <w:szCs w:val="24"/>
        </w:rPr>
        <w:t xml:space="preserve">, </w:t>
      </w:r>
      <w:r w:rsidRPr="00DB3D33">
        <w:rPr>
          <w:rFonts w:ascii="Arial" w:hAnsi="Arial" w:cs="Arial"/>
          <w:i/>
          <w:iCs/>
          <w:noProof/>
          <w:sz w:val="20"/>
          <w:szCs w:val="24"/>
        </w:rPr>
        <w:t>59</w:t>
      </w:r>
      <w:r w:rsidRPr="00DB3D33">
        <w:rPr>
          <w:rFonts w:ascii="Arial" w:hAnsi="Arial" w:cs="Arial"/>
          <w:noProof/>
          <w:sz w:val="20"/>
          <w:szCs w:val="24"/>
        </w:rPr>
        <w:t>(4), 379–391. https://doi.org/10.1080/00207144.2011.595349</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Delgado, B., Martinez-Monteagudo, M. C., Ruiz-Esteban, C., &amp; Rubio, E. (2019). Latent class analysis of school refusal behavior and its relationship with cyberbullying during adolescence. </w:t>
      </w:r>
      <w:r w:rsidRPr="00DB3D33">
        <w:rPr>
          <w:rFonts w:ascii="Arial" w:hAnsi="Arial" w:cs="Arial"/>
          <w:i/>
          <w:iCs/>
          <w:noProof/>
          <w:sz w:val="20"/>
          <w:szCs w:val="24"/>
        </w:rPr>
        <w:t>Frontiers in Psychology</w:t>
      </w:r>
      <w:r w:rsidRPr="00DB3D33">
        <w:rPr>
          <w:rFonts w:ascii="Arial" w:hAnsi="Arial" w:cs="Arial"/>
          <w:noProof/>
          <w:sz w:val="20"/>
          <w:szCs w:val="24"/>
        </w:rPr>
        <w:t xml:space="preserve">, </w:t>
      </w:r>
      <w:r w:rsidRPr="00DB3D33">
        <w:rPr>
          <w:rFonts w:ascii="Arial" w:hAnsi="Arial" w:cs="Arial"/>
          <w:i/>
          <w:iCs/>
          <w:noProof/>
          <w:sz w:val="20"/>
          <w:szCs w:val="24"/>
        </w:rPr>
        <w:t>10</w:t>
      </w:r>
      <w:r w:rsidRPr="00DB3D33">
        <w:rPr>
          <w:rFonts w:ascii="Arial" w:hAnsi="Arial" w:cs="Arial"/>
          <w:noProof/>
          <w:sz w:val="20"/>
          <w:szCs w:val="24"/>
        </w:rPr>
        <w:t>(AUG). https://doi.org/10.3389/fpsyg.2019.01916</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Filippello, P., Buzzai, C., Costa, S., &amp; Sorrenti, L. (2019). School refusal and absenteeism: Perception of teacher behaviors, psychological basic needs, and academic achievement. </w:t>
      </w:r>
      <w:r w:rsidRPr="00DB3D33">
        <w:rPr>
          <w:rFonts w:ascii="Arial" w:hAnsi="Arial" w:cs="Arial"/>
          <w:i/>
          <w:iCs/>
          <w:noProof/>
          <w:sz w:val="20"/>
          <w:szCs w:val="24"/>
        </w:rPr>
        <w:t>Frontiers in Psychology</w:t>
      </w:r>
      <w:r w:rsidRPr="00DB3D33">
        <w:rPr>
          <w:rFonts w:ascii="Arial" w:hAnsi="Arial" w:cs="Arial"/>
          <w:noProof/>
          <w:sz w:val="20"/>
          <w:szCs w:val="24"/>
        </w:rPr>
        <w:t xml:space="preserve">, </w:t>
      </w:r>
      <w:r w:rsidRPr="00DB3D33">
        <w:rPr>
          <w:rFonts w:ascii="Arial" w:hAnsi="Arial" w:cs="Arial"/>
          <w:i/>
          <w:iCs/>
          <w:noProof/>
          <w:sz w:val="20"/>
          <w:szCs w:val="24"/>
        </w:rPr>
        <w:t>10</w:t>
      </w:r>
      <w:r w:rsidRPr="00DB3D33">
        <w:rPr>
          <w:rFonts w:ascii="Arial" w:hAnsi="Arial" w:cs="Arial"/>
          <w:noProof/>
          <w:sz w:val="20"/>
          <w:szCs w:val="24"/>
        </w:rPr>
        <w:t>(JUN), 1–9. https://doi.org/10.3389/fpsyg.2019.01471</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Gonzálvez, C., Díaz-Herrero, Á., Vicent, M., Sanmartín, R., Pérez-Sánchez, A. M., &amp; García-Fernández, J. M. (2020). School refusal behavior: Latent class analysis approach and its relationship with psychopathological symptoms. </w:t>
      </w:r>
      <w:r w:rsidRPr="00DB3D33">
        <w:rPr>
          <w:rFonts w:ascii="Arial" w:hAnsi="Arial" w:cs="Arial"/>
          <w:i/>
          <w:iCs/>
          <w:noProof/>
          <w:sz w:val="20"/>
          <w:szCs w:val="24"/>
        </w:rPr>
        <w:t>Current Psychology</w:t>
      </w:r>
      <w:r w:rsidRPr="00DB3D33">
        <w:rPr>
          <w:rFonts w:ascii="Arial" w:hAnsi="Arial" w:cs="Arial"/>
          <w:noProof/>
          <w:sz w:val="20"/>
          <w:szCs w:val="24"/>
        </w:rPr>
        <w:t>, 2078–2088. https://doi.org/10.1007/s12144-020-00711-6</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Havik, T., &amp; Ingul, J. M. (2021). How to Understand School Refusal. </w:t>
      </w:r>
      <w:r w:rsidRPr="00DB3D33">
        <w:rPr>
          <w:rFonts w:ascii="Arial" w:hAnsi="Arial" w:cs="Arial"/>
          <w:i/>
          <w:iCs/>
          <w:noProof/>
          <w:sz w:val="20"/>
          <w:szCs w:val="24"/>
        </w:rPr>
        <w:t>Frontiers in Education</w:t>
      </w:r>
      <w:r w:rsidRPr="00DB3D33">
        <w:rPr>
          <w:rFonts w:ascii="Arial" w:hAnsi="Arial" w:cs="Arial"/>
          <w:noProof/>
          <w:sz w:val="20"/>
          <w:szCs w:val="24"/>
        </w:rPr>
        <w:t xml:space="preserve">, </w:t>
      </w:r>
      <w:r w:rsidRPr="00DB3D33">
        <w:rPr>
          <w:rFonts w:ascii="Arial" w:hAnsi="Arial" w:cs="Arial"/>
          <w:i/>
          <w:iCs/>
          <w:noProof/>
          <w:sz w:val="20"/>
          <w:szCs w:val="24"/>
        </w:rPr>
        <w:t>6</w:t>
      </w:r>
      <w:r w:rsidRPr="00DB3D33">
        <w:rPr>
          <w:rFonts w:ascii="Arial" w:hAnsi="Arial" w:cs="Arial"/>
          <w:noProof/>
          <w:sz w:val="20"/>
          <w:szCs w:val="24"/>
        </w:rPr>
        <w:t>(September), 1–11. https://doi.org/10.3389/feduc.2021.715177</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Hughes, P. M., Ostrout, T. L., &amp; Lewis, S. (2020). The impact of parental and individual factors on school refusal: a multiple-mediation model. </w:t>
      </w:r>
      <w:r w:rsidRPr="00DB3D33">
        <w:rPr>
          <w:rFonts w:ascii="Arial" w:hAnsi="Arial" w:cs="Arial"/>
          <w:i/>
          <w:iCs/>
          <w:noProof/>
          <w:sz w:val="20"/>
          <w:szCs w:val="24"/>
        </w:rPr>
        <w:t>Journal of Family Studies</w:t>
      </w:r>
      <w:r w:rsidRPr="00DB3D33">
        <w:rPr>
          <w:rFonts w:ascii="Arial" w:hAnsi="Arial" w:cs="Arial"/>
          <w:noProof/>
          <w:sz w:val="20"/>
          <w:szCs w:val="24"/>
        </w:rPr>
        <w:t xml:space="preserve">, </w:t>
      </w:r>
      <w:r w:rsidRPr="00DB3D33">
        <w:rPr>
          <w:rFonts w:ascii="Arial" w:hAnsi="Arial" w:cs="Arial"/>
          <w:i/>
          <w:iCs/>
          <w:noProof/>
          <w:sz w:val="20"/>
          <w:szCs w:val="24"/>
        </w:rPr>
        <w:t>0</w:t>
      </w:r>
      <w:r w:rsidRPr="00DB3D33">
        <w:rPr>
          <w:rFonts w:ascii="Arial" w:hAnsi="Arial" w:cs="Arial"/>
          <w:noProof/>
          <w:sz w:val="20"/>
          <w:szCs w:val="24"/>
        </w:rPr>
        <w:t>(0), 1–16. https://doi.org/10.1080/13229400.2020.1842232</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Indra, P. R. C. (2021). Single Subject Research (teori dan implementasinya: suatu pengantar). In </w:t>
      </w:r>
      <w:r w:rsidRPr="00DB3D33">
        <w:rPr>
          <w:rFonts w:ascii="Arial" w:hAnsi="Arial" w:cs="Arial"/>
          <w:i/>
          <w:iCs/>
          <w:noProof/>
          <w:sz w:val="20"/>
          <w:szCs w:val="24"/>
        </w:rPr>
        <w:t>Journal of Chemical Information and Modeling</w:t>
      </w:r>
      <w:r w:rsidRPr="00DB3D33">
        <w:rPr>
          <w:rFonts w:ascii="Arial" w:hAnsi="Arial" w:cs="Arial"/>
          <w:noProof/>
          <w:sz w:val="20"/>
          <w:szCs w:val="24"/>
        </w:rPr>
        <w:t xml:space="preserve"> (Vol. 53, Issue 9).</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Knollmann, M., Reissner, V., &amp; Hebebrand, J. (2019). Towards a comprehensive assessment of school absenteeism: development and initial validation of the inventory of school attendance problems. </w:t>
      </w:r>
      <w:r w:rsidRPr="00DB3D33">
        <w:rPr>
          <w:rFonts w:ascii="Arial" w:hAnsi="Arial" w:cs="Arial"/>
          <w:i/>
          <w:iCs/>
          <w:noProof/>
          <w:sz w:val="20"/>
          <w:szCs w:val="24"/>
        </w:rPr>
        <w:t>European Child and Adolescent Psychiatry</w:t>
      </w:r>
      <w:r w:rsidRPr="00DB3D33">
        <w:rPr>
          <w:rFonts w:ascii="Arial" w:hAnsi="Arial" w:cs="Arial"/>
          <w:noProof/>
          <w:sz w:val="20"/>
          <w:szCs w:val="24"/>
        </w:rPr>
        <w:t xml:space="preserve">, </w:t>
      </w:r>
      <w:r w:rsidRPr="00DB3D33">
        <w:rPr>
          <w:rFonts w:ascii="Arial" w:hAnsi="Arial" w:cs="Arial"/>
          <w:i/>
          <w:iCs/>
          <w:noProof/>
          <w:sz w:val="20"/>
          <w:szCs w:val="24"/>
        </w:rPr>
        <w:t>28</w:t>
      </w:r>
      <w:r w:rsidRPr="00DB3D33">
        <w:rPr>
          <w:rFonts w:ascii="Arial" w:hAnsi="Arial" w:cs="Arial"/>
          <w:noProof/>
          <w:sz w:val="20"/>
          <w:szCs w:val="24"/>
        </w:rPr>
        <w:t>(3), 399–414. https://doi.org/10.1007/s00787-018-1204-2</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Leutner, S., &amp; Piedfort-Marin, O. (2021). The concept of ego state: From historical background to future perspectives. </w:t>
      </w:r>
      <w:r w:rsidRPr="00DB3D33">
        <w:rPr>
          <w:rFonts w:ascii="Arial" w:hAnsi="Arial" w:cs="Arial"/>
          <w:i/>
          <w:iCs/>
          <w:noProof/>
          <w:sz w:val="20"/>
          <w:szCs w:val="24"/>
        </w:rPr>
        <w:t>European Journal of Trauma and Dissociation</w:t>
      </w:r>
      <w:r w:rsidRPr="00DB3D33">
        <w:rPr>
          <w:rFonts w:ascii="Arial" w:hAnsi="Arial" w:cs="Arial"/>
          <w:noProof/>
          <w:sz w:val="20"/>
          <w:szCs w:val="24"/>
        </w:rPr>
        <w:t xml:space="preserve">, </w:t>
      </w:r>
      <w:r w:rsidRPr="00DB3D33">
        <w:rPr>
          <w:rFonts w:ascii="Arial" w:hAnsi="Arial" w:cs="Arial"/>
          <w:i/>
          <w:iCs/>
          <w:noProof/>
          <w:sz w:val="20"/>
          <w:szCs w:val="24"/>
        </w:rPr>
        <w:t>5</w:t>
      </w:r>
      <w:r w:rsidRPr="00DB3D33">
        <w:rPr>
          <w:rFonts w:ascii="Arial" w:hAnsi="Arial" w:cs="Arial"/>
          <w:noProof/>
          <w:sz w:val="20"/>
          <w:szCs w:val="24"/>
        </w:rPr>
        <w:t>(4), 100184. https://doi.org/10.1016/j.ejtd.2020.100184</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Liu, L., Gu, H., Zhao, X., &amp; Wang, Y. (2021). What Contributes to the Development and Maintenance of School Refusal in Chinese Adolescents: A Qualitative Study. </w:t>
      </w:r>
      <w:r w:rsidRPr="00DB3D33">
        <w:rPr>
          <w:rFonts w:ascii="Arial" w:hAnsi="Arial" w:cs="Arial"/>
          <w:i/>
          <w:iCs/>
          <w:noProof/>
          <w:sz w:val="20"/>
          <w:szCs w:val="24"/>
        </w:rPr>
        <w:t>Frontiers in Psychiatry</w:t>
      </w:r>
      <w:r w:rsidRPr="00DB3D33">
        <w:rPr>
          <w:rFonts w:ascii="Arial" w:hAnsi="Arial" w:cs="Arial"/>
          <w:noProof/>
          <w:sz w:val="20"/>
          <w:szCs w:val="24"/>
        </w:rPr>
        <w:t xml:space="preserve">, </w:t>
      </w:r>
      <w:r w:rsidRPr="00DB3D33">
        <w:rPr>
          <w:rFonts w:ascii="Arial" w:hAnsi="Arial" w:cs="Arial"/>
          <w:i/>
          <w:iCs/>
          <w:noProof/>
          <w:sz w:val="20"/>
          <w:szCs w:val="24"/>
        </w:rPr>
        <w:t>12</w:t>
      </w:r>
      <w:r w:rsidRPr="00DB3D33">
        <w:rPr>
          <w:rFonts w:ascii="Arial" w:hAnsi="Arial" w:cs="Arial"/>
          <w:noProof/>
          <w:sz w:val="20"/>
          <w:szCs w:val="24"/>
        </w:rPr>
        <w:t>(December), 1–12. https://doi.org/10.3389/fpsyt.2021.782605</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szCs w:val="24"/>
        </w:rPr>
      </w:pPr>
      <w:r w:rsidRPr="00DB3D33">
        <w:rPr>
          <w:rFonts w:ascii="Arial" w:hAnsi="Arial" w:cs="Arial"/>
          <w:noProof/>
          <w:sz w:val="20"/>
          <w:szCs w:val="24"/>
        </w:rPr>
        <w:t xml:space="preserve">Nursalim, M. T. (2019). 2019 5th International Conference on Education and Technology (ICET). </w:t>
      </w:r>
      <w:r w:rsidRPr="00DB3D33">
        <w:rPr>
          <w:rFonts w:ascii="Arial" w:hAnsi="Arial" w:cs="Arial"/>
          <w:i/>
          <w:iCs/>
          <w:noProof/>
          <w:sz w:val="20"/>
          <w:szCs w:val="24"/>
        </w:rPr>
        <w:t>The Effectiveness of Brief Ego State Cognitive Behavior Counseling to Reduce PTSD Symptoms in Victims of Natural Disasters in Central Sulawesi</w:t>
      </w:r>
      <w:r w:rsidRPr="00DB3D33">
        <w:rPr>
          <w:rFonts w:ascii="Arial" w:hAnsi="Arial" w:cs="Arial"/>
          <w:noProof/>
          <w:sz w:val="20"/>
          <w:szCs w:val="24"/>
        </w:rPr>
        <w:t xml:space="preserve">, 131–134. </w:t>
      </w:r>
      <w:r w:rsidRPr="00DB3D33">
        <w:rPr>
          <w:rFonts w:ascii="Arial" w:hAnsi="Arial" w:cs="Arial"/>
          <w:noProof/>
          <w:sz w:val="20"/>
          <w:szCs w:val="24"/>
        </w:rPr>
        <w:lastRenderedPageBreak/>
        <w:t>https://ieeexplore.ieee.org/document/8987202</w:t>
      </w:r>
    </w:p>
    <w:p w:rsidR="00DB3D33" w:rsidRPr="00DB3D33" w:rsidRDefault="00DB3D33" w:rsidP="00DB3D33">
      <w:pPr>
        <w:widowControl w:val="0"/>
        <w:autoSpaceDE w:val="0"/>
        <w:autoSpaceDN w:val="0"/>
        <w:adjustRightInd w:val="0"/>
        <w:spacing w:after="0" w:line="360" w:lineRule="auto"/>
        <w:ind w:left="480" w:hanging="480"/>
        <w:rPr>
          <w:rFonts w:ascii="Arial" w:hAnsi="Arial" w:cs="Arial"/>
          <w:noProof/>
          <w:sz w:val="20"/>
        </w:rPr>
      </w:pPr>
      <w:r w:rsidRPr="00DB3D33">
        <w:rPr>
          <w:rFonts w:ascii="Arial" w:hAnsi="Arial" w:cs="Arial"/>
          <w:noProof/>
          <w:sz w:val="20"/>
          <w:szCs w:val="24"/>
        </w:rPr>
        <w:t xml:space="preserve">Ochi, M., Kawabe, K., Ochi, S., Miyama, T., Horiuchi, F., &amp; Ueno, S. I. (2020). School refusal and bullying in children with autism spectrum disorder. </w:t>
      </w:r>
      <w:r w:rsidRPr="00DB3D33">
        <w:rPr>
          <w:rFonts w:ascii="Arial" w:hAnsi="Arial" w:cs="Arial"/>
          <w:i/>
          <w:iCs/>
          <w:noProof/>
          <w:sz w:val="20"/>
          <w:szCs w:val="24"/>
        </w:rPr>
        <w:t>Child and Adolescent Psychiatry and Mental Health</w:t>
      </w:r>
      <w:r w:rsidRPr="00DB3D33">
        <w:rPr>
          <w:rFonts w:ascii="Arial" w:hAnsi="Arial" w:cs="Arial"/>
          <w:noProof/>
          <w:sz w:val="20"/>
          <w:szCs w:val="24"/>
        </w:rPr>
        <w:t xml:space="preserve">, </w:t>
      </w:r>
      <w:r w:rsidRPr="00DB3D33">
        <w:rPr>
          <w:rFonts w:ascii="Arial" w:hAnsi="Arial" w:cs="Arial"/>
          <w:i/>
          <w:iCs/>
          <w:noProof/>
          <w:sz w:val="20"/>
          <w:szCs w:val="24"/>
        </w:rPr>
        <w:t>14</w:t>
      </w:r>
      <w:r w:rsidRPr="00DB3D33">
        <w:rPr>
          <w:rFonts w:ascii="Arial" w:hAnsi="Arial" w:cs="Arial"/>
          <w:noProof/>
          <w:sz w:val="20"/>
          <w:szCs w:val="24"/>
        </w:rPr>
        <w:t>(1), 1–7. https://doi.org/10.1186/s13034-020-00325-7</w:t>
      </w:r>
    </w:p>
    <w:p w:rsidR="00983DE8" w:rsidRPr="00983DE8" w:rsidRDefault="004658B9" w:rsidP="004658B9">
      <w:pPr>
        <w:pStyle w:val="HeadBody"/>
        <w:rPr>
          <w:lang w:val="en-US"/>
        </w:rPr>
      </w:pPr>
      <w:r>
        <w:fldChar w:fldCharType="end"/>
      </w:r>
    </w:p>
    <w:sectPr w:rsidR="00983DE8" w:rsidRPr="00983DE8" w:rsidSect="00006F5B">
      <w:headerReference w:type="default" r:id="rId11"/>
      <w:footerReference w:type="default" r:id="rId12"/>
      <w:pgSz w:w="11907" w:h="16839" w:code="9"/>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714" w:rsidRDefault="000D6714" w:rsidP="00006F5B">
      <w:pPr>
        <w:spacing w:after="0" w:line="240" w:lineRule="auto"/>
      </w:pPr>
      <w:r>
        <w:separator/>
      </w:r>
    </w:p>
  </w:endnote>
  <w:endnote w:type="continuationSeparator" w:id="0">
    <w:p w:rsidR="000D6714" w:rsidRDefault="000D6714" w:rsidP="00006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F5B" w:rsidRPr="000132BA" w:rsidRDefault="00006F5B" w:rsidP="00006F5B">
    <w:pPr>
      <w:pStyle w:val="Footer"/>
      <w:jc w:val="center"/>
      <w:rPr>
        <w:rFonts w:ascii="Arial" w:hAnsi="Arial" w:cs="Arial"/>
        <w:sz w:val="20"/>
        <w:lang w:val="en-US"/>
      </w:rPr>
    </w:pPr>
    <w:r w:rsidRPr="000132BA">
      <w:rPr>
        <w:rFonts w:ascii="Arial" w:hAnsi="Arial" w:cs="Arial"/>
        <w:sz w:val="20"/>
        <w:lang w:val="en-US"/>
      </w:rPr>
      <w:t>www.isgc.uny.ac.id</w:t>
    </w:r>
  </w:p>
  <w:p w:rsidR="00006F5B" w:rsidRDefault="00006F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DE8" w:rsidRDefault="00983DE8">
    <w:pPr>
      <w:pStyle w:val="Footer"/>
    </w:pPr>
    <w:r w:rsidRPr="00983DE8">
      <w:rPr>
        <w:rFonts w:ascii="Arial" w:hAnsi="Arial" w:cs="Arial"/>
        <w:noProof/>
        <w:sz w:val="20"/>
        <w:lang w:val="en-US"/>
      </w:rPr>
      <mc:AlternateContent>
        <mc:Choice Requires="wpg">
          <w:drawing>
            <wp:anchor distT="0" distB="0" distL="0" distR="0" simplePos="0" relativeHeight="251664384" behindDoc="0" locked="0" layoutInCell="1" allowOverlap="1" wp14:anchorId="7A88528D" wp14:editId="5AD3E774">
              <wp:simplePos x="0" y="0"/>
              <wp:positionH relativeFrom="margin">
                <wp:posOffset>-17780</wp:posOffset>
              </wp:positionH>
              <wp:positionV relativeFrom="bottomMargin">
                <wp:posOffset>194945</wp:posOffset>
              </wp:positionV>
              <wp:extent cx="5943600" cy="617855"/>
              <wp:effectExtent l="0" t="0" r="9525" b="10795"/>
              <wp:wrapSquare wrapText="bothSides"/>
              <wp:docPr id="37" name="Group 37"/>
              <wp:cNvGraphicFramePr/>
              <a:graphic xmlns:a="http://schemas.openxmlformats.org/drawingml/2006/main">
                <a:graphicData uri="http://schemas.microsoft.com/office/word/2010/wordprocessingGroup">
                  <wpg:wgp>
                    <wpg:cNvGrpSpPr/>
                    <wpg:grpSpPr>
                      <a:xfrm>
                        <a:off x="0" y="0"/>
                        <a:ext cx="5943600" cy="617855"/>
                        <a:chOff x="0" y="0"/>
                        <a:chExt cx="5962650" cy="62648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8828"/>
                          <a:ext cx="5943601" cy="617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KONVENSI NASIONAL BIMBINGAN DAN KONSELING XXII</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3</w:t>
                            </w:r>
                            <w:r w:rsidRPr="002C65F0">
                              <w:rPr>
                                <w:rFonts w:ascii="Arial" w:hAnsi="Arial" w:cs="Arial"/>
                                <w:color w:val="000000" w:themeColor="text1"/>
                                <w:sz w:val="18"/>
                                <w:vertAlign w:val="superscript"/>
                              </w:rPr>
                              <w:t>rd</w:t>
                            </w:r>
                            <w:r w:rsidRPr="002C65F0">
                              <w:rPr>
                                <w:rFonts w:ascii="Arial" w:hAnsi="Arial" w:cs="Arial"/>
                                <w:color w:val="000000" w:themeColor="text1"/>
                                <w:sz w:val="18"/>
                              </w:rPr>
                              <w:t xml:space="preserve"> INTERNATIONAL SEMINAR ON GUIDANCE AND COUNSELING (ISGC)</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KONGRES XIV ASOSIASI BIMBINGAN DAN KONSELING INDONESIA</w:t>
                            </w:r>
                          </w:p>
                          <w:p w:rsidR="00983DE8" w:rsidRPr="002C65F0" w:rsidRDefault="00983DE8" w:rsidP="00983DE8">
                            <w:pPr>
                              <w:spacing w:after="0" w:line="240" w:lineRule="auto"/>
                              <w:rPr>
                                <w:b/>
                                <w:color w:val="808080" w:themeColor="background1" w:themeShade="80"/>
                                <w:sz w:val="2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A88528D" id="Group 37" o:spid="_x0000_s1026" style="position:absolute;margin-left:-1.4pt;margin-top:15.35pt;width:468pt;height:48.65pt;z-index:251664384;mso-width-percent:1000;mso-wrap-distance-left:0;mso-wrap-distance-right:0;mso-position-horizontal-relative:margin;mso-position-vertical-relative:bottom-margin-area;mso-width-percent:1000;mso-width-relative:margin;mso-height-relative:margin" coordsize="59626,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88;width:59436;height:61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KONVENSI NASIONAL BIMBINGAN DAN KONSELING XXII</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3</w:t>
                      </w:r>
                      <w:r w:rsidRPr="002C65F0">
                        <w:rPr>
                          <w:rFonts w:ascii="Arial" w:hAnsi="Arial" w:cs="Arial"/>
                          <w:color w:val="000000" w:themeColor="text1"/>
                          <w:sz w:val="18"/>
                          <w:vertAlign w:val="superscript"/>
                        </w:rPr>
                        <w:t>rd</w:t>
                      </w:r>
                      <w:r w:rsidRPr="002C65F0">
                        <w:rPr>
                          <w:rFonts w:ascii="Arial" w:hAnsi="Arial" w:cs="Arial"/>
                          <w:color w:val="000000" w:themeColor="text1"/>
                          <w:sz w:val="18"/>
                        </w:rPr>
                        <w:t xml:space="preserve"> INTERNATIONAL SEMINAR ON GUIDANCE AND COUNSELING (ISGC)</w:t>
                      </w:r>
                    </w:p>
                    <w:p w:rsidR="00983DE8" w:rsidRPr="002C65F0" w:rsidRDefault="00983DE8" w:rsidP="00983DE8">
                      <w:pPr>
                        <w:spacing w:after="0" w:line="240" w:lineRule="auto"/>
                        <w:rPr>
                          <w:rFonts w:ascii="Arial" w:hAnsi="Arial" w:cs="Arial"/>
                          <w:color w:val="000000" w:themeColor="text1"/>
                          <w:sz w:val="18"/>
                        </w:rPr>
                      </w:pPr>
                      <w:r w:rsidRPr="002C65F0">
                        <w:rPr>
                          <w:rFonts w:ascii="Arial" w:hAnsi="Arial" w:cs="Arial"/>
                          <w:color w:val="000000" w:themeColor="text1"/>
                          <w:sz w:val="18"/>
                        </w:rPr>
                        <w:t>KONGRES XIV ASOSIASI BIMBINGAN DAN KONSELING INDONESIA</w:t>
                      </w:r>
                    </w:p>
                    <w:p w:rsidR="00983DE8" w:rsidRPr="002C65F0" w:rsidRDefault="00983DE8" w:rsidP="00983DE8">
                      <w:pPr>
                        <w:spacing w:after="0" w:line="240" w:lineRule="auto"/>
                        <w:rPr>
                          <w:b/>
                          <w:color w:val="808080" w:themeColor="background1" w:themeShade="80"/>
                          <w:sz w:val="20"/>
                        </w:rPr>
                      </w:pPr>
                    </w:p>
                  </w:txbxContent>
                </v:textbox>
              </v:shape>
              <w10:wrap type="square" anchorx="margin" anchory="margin"/>
            </v:group>
          </w:pict>
        </mc:Fallback>
      </mc:AlternateContent>
    </w:r>
    <w:r w:rsidRPr="00983DE8">
      <w:rPr>
        <w:rFonts w:ascii="Arial" w:hAnsi="Arial" w:cs="Arial"/>
        <w:noProof/>
        <w:sz w:val="20"/>
        <w:lang w:val="en-US"/>
      </w:rPr>
      <mc:AlternateContent>
        <mc:Choice Requires="wps">
          <w:drawing>
            <wp:anchor distT="0" distB="0" distL="0" distR="0" simplePos="0" relativeHeight="251663360" behindDoc="0" locked="0" layoutInCell="1" allowOverlap="1" wp14:anchorId="74A2296B" wp14:editId="0C1BDBB8">
              <wp:simplePos x="0" y="0"/>
              <wp:positionH relativeFrom="rightMargin">
                <wp:posOffset>-13413</wp:posOffset>
              </wp:positionH>
              <wp:positionV relativeFrom="bottomMargin">
                <wp:posOffset>193040</wp:posOffset>
              </wp:positionV>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gradFill flip="none" rotWithShape="1">
                        <a:gsLst>
                          <a:gs pos="0">
                            <a:schemeClr val="tx1">
                              <a:tint val="66000"/>
                              <a:satMod val="160000"/>
                            </a:schemeClr>
                          </a:gs>
                          <a:gs pos="50000">
                            <a:schemeClr val="tx1">
                              <a:tint val="44500"/>
                              <a:satMod val="160000"/>
                            </a:schemeClr>
                          </a:gs>
                          <a:gs pos="100000">
                            <a:schemeClr val="tx1">
                              <a:tint val="23500"/>
                              <a:satMod val="160000"/>
                            </a:schemeClr>
                          </a:gs>
                        </a:gsLst>
                        <a:lin ang="0" scaled="1"/>
                        <a:tileRect/>
                      </a:gra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3DE8" w:rsidRPr="002C65F0" w:rsidRDefault="00983DE8" w:rsidP="00983DE8">
                          <w:pPr>
                            <w:jc w:val="center"/>
                            <w:rPr>
                              <w:rFonts w:ascii="Arial" w:hAnsi="Arial" w:cs="Arial"/>
                              <w:b/>
                              <w:color w:val="000000" w:themeColor="text1"/>
                              <w:szCs w:val="28"/>
                            </w:rPr>
                          </w:pPr>
                          <w:r w:rsidRPr="002C65F0">
                            <w:rPr>
                              <w:rFonts w:ascii="Arial" w:hAnsi="Arial" w:cs="Arial"/>
                              <w:b/>
                              <w:color w:val="000000" w:themeColor="text1"/>
                              <w:szCs w:val="28"/>
                            </w:rPr>
                            <w:fldChar w:fldCharType="begin"/>
                          </w:r>
                          <w:r w:rsidRPr="002C65F0">
                            <w:rPr>
                              <w:rFonts w:ascii="Arial" w:hAnsi="Arial" w:cs="Arial"/>
                              <w:b/>
                              <w:color w:val="000000" w:themeColor="text1"/>
                              <w:szCs w:val="28"/>
                            </w:rPr>
                            <w:instrText xml:space="preserve"> PAGE   \* MERGEFORMAT </w:instrText>
                          </w:r>
                          <w:r w:rsidRPr="002C65F0">
                            <w:rPr>
                              <w:rFonts w:ascii="Arial" w:hAnsi="Arial" w:cs="Arial"/>
                              <w:b/>
                              <w:color w:val="000000" w:themeColor="text1"/>
                              <w:szCs w:val="28"/>
                            </w:rPr>
                            <w:fldChar w:fldCharType="separate"/>
                          </w:r>
                          <w:r w:rsidR="00982F11">
                            <w:rPr>
                              <w:rFonts w:ascii="Arial" w:hAnsi="Arial" w:cs="Arial"/>
                              <w:b/>
                              <w:noProof/>
                              <w:color w:val="000000" w:themeColor="text1"/>
                              <w:szCs w:val="28"/>
                            </w:rPr>
                            <w:t>10</w:t>
                          </w:r>
                          <w:r w:rsidRPr="002C65F0">
                            <w:rPr>
                              <w:rFonts w:ascii="Arial" w:hAnsi="Arial" w:cs="Arial"/>
                              <w:b/>
                              <w:noProof/>
                              <w:color w:val="000000" w:themeColor="text1"/>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2296B" id="Rectangle 40" o:spid="_x0000_s1029" style="position:absolute;margin-left:-1.05pt;margin-top:15.2pt;width:36pt;height:25.2pt;z-index:25166336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" fillcolor="#575757 [2141]" stroked="f" strokeweight="3pt">
              <v:fill color2="#c5c5c5 [765]" rotate="t" angle="90" colors="0 #9e9e9e;.5 #c4c4c4;1 #e3e3e3" focus="100%" type="gradient"/>
              <v:textbox>
                <w:txbxContent>
                  <w:p w:rsidR="00983DE8" w:rsidRPr="002C65F0" w:rsidRDefault="00983DE8" w:rsidP="00983DE8">
                    <w:pPr>
                      <w:jc w:val="center"/>
                      <w:rPr>
                        <w:rFonts w:ascii="Arial" w:hAnsi="Arial" w:cs="Arial"/>
                        <w:b/>
                        <w:color w:val="000000" w:themeColor="text1"/>
                        <w:szCs w:val="28"/>
                      </w:rPr>
                    </w:pPr>
                    <w:r w:rsidRPr="002C65F0">
                      <w:rPr>
                        <w:rFonts w:ascii="Arial" w:hAnsi="Arial" w:cs="Arial"/>
                        <w:b/>
                        <w:color w:val="000000" w:themeColor="text1"/>
                        <w:szCs w:val="28"/>
                      </w:rPr>
                      <w:fldChar w:fldCharType="begin"/>
                    </w:r>
                    <w:r w:rsidRPr="002C65F0">
                      <w:rPr>
                        <w:rFonts w:ascii="Arial" w:hAnsi="Arial" w:cs="Arial"/>
                        <w:b/>
                        <w:color w:val="000000" w:themeColor="text1"/>
                        <w:szCs w:val="28"/>
                      </w:rPr>
                      <w:instrText xml:space="preserve"> PAGE   \* MERGEFORMAT </w:instrText>
                    </w:r>
                    <w:r w:rsidRPr="002C65F0">
                      <w:rPr>
                        <w:rFonts w:ascii="Arial" w:hAnsi="Arial" w:cs="Arial"/>
                        <w:b/>
                        <w:color w:val="000000" w:themeColor="text1"/>
                        <w:szCs w:val="28"/>
                      </w:rPr>
                      <w:fldChar w:fldCharType="separate"/>
                    </w:r>
                    <w:r w:rsidR="00982F11">
                      <w:rPr>
                        <w:rFonts w:ascii="Arial" w:hAnsi="Arial" w:cs="Arial"/>
                        <w:b/>
                        <w:noProof/>
                        <w:color w:val="000000" w:themeColor="text1"/>
                        <w:szCs w:val="28"/>
                      </w:rPr>
                      <w:t>10</w:t>
                    </w:r>
                    <w:r w:rsidRPr="002C65F0">
                      <w:rPr>
                        <w:rFonts w:ascii="Arial" w:hAnsi="Arial" w:cs="Arial"/>
                        <w:b/>
                        <w:noProof/>
                        <w:color w:val="000000" w:themeColor="text1"/>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714" w:rsidRDefault="000D6714" w:rsidP="00006F5B">
      <w:pPr>
        <w:spacing w:after="0" w:line="240" w:lineRule="auto"/>
      </w:pPr>
      <w:r>
        <w:separator/>
      </w:r>
    </w:p>
  </w:footnote>
  <w:footnote w:type="continuationSeparator" w:id="0">
    <w:p w:rsidR="000D6714" w:rsidRDefault="000D6714" w:rsidP="00006F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F5B" w:rsidRDefault="00006F5B" w:rsidP="00006F5B">
    <w:pPr>
      <w:pStyle w:val="Header"/>
      <w:jc w:val="center"/>
      <w:rPr>
        <w:rFonts w:ascii="Arial" w:hAnsi="Arial" w:cs="Arial"/>
        <w:b/>
        <w:lang w:val="en-US"/>
      </w:rPr>
    </w:pPr>
    <w:r>
      <w:rPr>
        <w:rFonts w:ascii="Arial" w:hAnsi="Arial" w:cs="Arial"/>
        <w:b/>
        <w:noProof/>
        <w:lang w:val="en-US"/>
      </w:rPr>
      <w:drawing>
        <wp:inline distT="0" distB="0" distL="0" distR="0" wp14:anchorId="038A92FB" wp14:editId="76355317">
          <wp:extent cx="282507" cy="288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07"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76C18420" wp14:editId="78F6B9AE">
          <wp:extent cx="288000" cy="28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2C3E445E" wp14:editId="6BD1A33C">
          <wp:extent cx="552469" cy="28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abki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469"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647033E0" wp14:editId="3F82F49D">
          <wp:extent cx="214266" cy="28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isgc.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4266"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1DEEF584" wp14:editId="734D918E">
          <wp:extent cx="438527" cy="28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konvensi.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527" cy="288000"/>
                  </a:xfrm>
                  <a:prstGeom prst="rect">
                    <a:avLst/>
                  </a:prstGeom>
                </pic:spPr>
              </pic:pic>
            </a:graphicData>
          </a:graphic>
        </wp:inline>
      </w:drawing>
    </w:r>
    <w:r>
      <w:rPr>
        <w:rFonts w:ascii="Arial" w:hAnsi="Arial" w:cs="Arial"/>
        <w:b/>
        <w:lang w:val="en-US"/>
      </w:rPr>
      <w:t xml:space="preserve">  </w:t>
    </w:r>
    <w:r>
      <w:rPr>
        <w:rFonts w:ascii="Arial" w:hAnsi="Arial" w:cs="Arial"/>
        <w:b/>
        <w:noProof/>
        <w:lang w:val="en-US"/>
      </w:rPr>
      <w:drawing>
        <wp:inline distT="0" distB="0" distL="0" distR="0" wp14:anchorId="01D5F52B" wp14:editId="082B1A69">
          <wp:extent cx="926572" cy="2160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kongr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6572" cy="216000"/>
                  </a:xfrm>
                  <a:prstGeom prst="rect">
                    <a:avLst/>
                  </a:prstGeom>
                </pic:spPr>
              </pic:pic>
            </a:graphicData>
          </a:graphic>
        </wp:inline>
      </w:drawing>
    </w:r>
  </w:p>
  <w:p w:rsidR="00006F5B" w:rsidRPr="00DE2223" w:rsidRDefault="00006F5B" w:rsidP="00006F5B">
    <w:pPr>
      <w:pStyle w:val="Header"/>
      <w:jc w:val="center"/>
      <w:rPr>
        <w:rFonts w:ascii="Arial" w:hAnsi="Arial" w:cs="Arial"/>
        <w:b/>
        <w:sz w:val="18"/>
        <w:lang w:val="en-US"/>
      </w:rPr>
    </w:pPr>
  </w:p>
  <w:p w:rsidR="00006F5B" w:rsidRPr="005E6AEA" w:rsidRDefault="00006F5B" w:rsidP="00006F5B">
    <w:pPr>
      <w:pStyle w:val="Header"/>
      <w:jc w:val="center"/>
      <w:rPr>
        <w:rFonts w:ascii="Arial" w:hAnsi="Arial" w:cs="Arial"/>
        <w:b/>
        <w:lang w:val="en-US"/>
      </w:rPr>
    </w:pPr>
    <w:r w:rsidRPr="005E6AEA">
      <w:rPr>
        <w:rFonts w:ascii="Arial" w:hAnsi="Arial" w:cs="Arial"/>
        <w:b/>
        <w:lang w:val="en-US"/>
      </w:rPr>
      <w:t>KONVENSI NASIONAL BIMBINGAN DAN KONSELING XXII</w:t>
    </w:r>
  </w:p>
  <w:p w:rsidR="00006F5B" w:rsidRPr="005E6AEA" w:rsidRDefault="00006F5B" w:rsidP="00006F5B">
    <w:pPr>
      <w:pStyle w:val="Header"/>
      <w:jc w:val="center"/>
      <w:rPr>
        <w:rFonts w:ascii="Arial" w:hAnsi="Arial" w:cs="Arial"/>
        <w:b/>
        <w:lang w:val="en-US"/>
      </w:rPr>
    </w:pPr>
    <w:r w:rsidRPr="005E6AEA">
      <w:rPr>
        <w:rFonts w:ascii="Arial" w:hAnsi="Arial" w:cs="Arial"/>
        <w:b/>
        <w:lang w:val="en-US"/>
      </w:rPr>
      <w:t>3</w:t>
    </w:r>
    <w:r w:rsidRPr="005E6AEA">
      <w:rPr>
        <w:rFonts w:ascii="Arial" w:hAnsi="Arial" w:cs="Arial"/>
        <w:b/>
        <w:vertAlign w:val="superscript"/>
        <w:lang w:val="en-US"/>
      </w:rPr>
      <w:t>rd</w:t>
    </w:r>
    <w:r w:rsidRPr="005E6AEA">
      <w:rPr>
        <w:rFonts w:ascii="Arial" w:hAnsi="Arial" w:cs="Arial"/>
        <w:b/>
        <w:lang w:val="en-US"/>
      </w:rPr>
      <w:t xml:space="preserve"> INTERNATIONAL SEMINAR ON GUIDANCE AND COUNSELING (ISGC)</w:t>
    </w:r>
  </w:p>
  <w:p w:rsidR="00006F5B" w:rsidRPr="005E6AEA" w:rsidRDefault="00006F5B" w:rsidP="00006F5B">
    <w:pPr>
      <w:pStyle w:val="Header"/>
      <w:spacing w:after="120"/>
      <w:jc w:val="center"/>
      <w:rPr>
        <w:rFonts w:ascii="Arial" w:hAnsi="Arial" w:cs="Arial"/>
        <w:b/>
        <w:lang w:val="en-US"/>
      </w:rPr>
    </w:pPr>
    <w:r w:rsidRPr="005E6AEA">
      <w:rPr>
        <w:rFonts w:ascii="Arial" w:hAnsi="Arial" w:cs="Arial"/>
        <w:b/>
        <w:lang w:val="en-US"/>
      </w:rPr>
      <w:t>KONGRES XIV ASOSIASI BIMBINGAN DAN KONSELING INDONESIA</w:t>
    </w:r>
  </w:p>
  <w:p w:rsidR="00006F5B" w:rsidRDefault="00006F5B" w:rsidP="00006F5B">
    <w:pPr>
      <w:pStyle w:val="Header"/>
      <w:jc w:val="center"/>
      <w:rPr>
        <w:rFonts w:ascii="Arial" w:hAnsi="Arial" w:cs="Arial"/>
        <w:lang w:val="en-US"/>
      </w:rPr>
    </w:pPr>
    <w:r>
      <w:rPr>
        <w:rFonts w:ascii="Arial" w:hAnsi="Arial" w:cs="Arial"/>
        <w:noProof/>
        <w:lang w:val="en-US"/>
      </w:rPr>
      <w:t xml:space="preserve"> </w:t>
    </w:r>
    <w:r w:rsidRPr="005E6AEA">
      <w:rPr>
        <w:rFonts w:ascii="Arial" w:hAnsi="Arial" w:cs="Arial"/>
        <w:lang w:val="en-US"/>
      </w:rPr>
      <w:t>“</w:t>
    </w:r>
    <w:r w:rsidRPr="005E6AEA">
      <w:rPr>
        <w:rFonts w:ascii="Arial" w:hAnsi="Arial" w:cs="Arial"/>
        <w:sz w:val="18"/>
        <w:lang w:val="en-US"/>
      </w:rPr>
      <w:t>REVITALIZING THE ROLE OF GUIDANCE AND COUNSELING IN NATION BUILDING”</w:t>
    </w:r>
  </w:p>
  <w:p w:rsidR="00006F5B" w:rsidRPr="00006F5B" w:rsidRDefault="00006F5B" w:rsidP="00006F5B">
    <w:pPr>
      <w:pStyle w:val="Header"/>
      <w:jc w:val="center"/>
      <w:rPr>
        <w:rFonts w:ascii="Arial" w:hAnsi="Arial" w:cs="Arial"/>
      </w:rPr>
    </w:pPr>
    <w:r>
      <w:rPr>
        <w:rFonts w:ascii="Arial" w:hAnsi="Arial" w:cs="Arial"/>
        <w:noProof/>
        <w:lang w:val="en-US"/>
      </w:rPr>
      <mc:AlternateContent>
        <mc:Choice Requires="wps">
          <w:drawing>
            <wp:anchor distT="0" distB="0" distL="114300" distR="114300" simplePos="0" relativeHeight="251659264" behindDoc="0" locked="0" layoutInCell="1" allowOverlap="1" wp14:anchorId="78A0F2EE" wp14:editId="51947B8D">
              <wp:simplePos x="0" y="0"/>
              <wp:positionH relativeFrom="column">
                <wp:posOffset>-13970</wp:posOffset>
              </wp:positionH>
              <wp:positionV relativeFrom="paragraph">
                <wp:posOffset>48895</wp:posOffset>
              </wp:positionV>
              <wp:extent cx="562927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629275"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6E1A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85pt" to="442.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" strokecolor="black [3200]" strokeweight="2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DE8" w:rsidRPr="00202222" w:rsidRDefault="00202222" w:rsidP="00202222">
    <w:pPr>
      <w:pStyle w:val="Header"/>
      <w:jc w:val="center"/>
      <w:rPr>
        <w:rFonts w:ascii="Arial" w:hAnsi="Arial" w:cs="Arial"/>
        <w:b/>
        <w:sz w:val="20"/>
        <w:szCs w:val="20"/>
        <w:lang w:val="en-US"/>
      </w:rPr>
    </w:pPr>
    <w:r w:rsidRPr="00202222">
      <w:rPr>
        <w:rFonts w:ascii="Arial" w:hAnsi="Arial" w:cs="Arial"/>
        <w:b/>
        <w:sz w:val="20"/>
        <w:szCs w:val="20"/>
        <w:lang w:val="en-US"/>
      </w:rPr>
      <w:t xml:space="preserve">Pattern School Refusal Behavior On </w:t>
    </w:r>
    <w:proofErr w:type="spellStart"/>
    <w:r w:rsidRPr="00202222">
      <w:rPr>
        <w:rFonts w:ascii="Arial" w:hAnsi="Arial" w:cs="Arial"/>
        <w:b/>
        <w:sz w:val="20"/>
        <w:szCs w:val="20"/>
        <w:lang w:val="en-US"/>
      </w:rPr>
      <w:t>Santri</w:t>
    </w:r>
    <w:proofErr w:type="spellEnd"/>
    <w:r w:rsidRPr="00202222">
      <w:rPr>
        <w:rFonts w:ascii="Arial" w:hAnsi="Arial" w:cs="Arial"/>
        <w:b/>
        <w:sz w:val="20"/>
        <w:szCs w:val="20"/>
        <w:lang w:val="en-US"/>
      </w:rPr>
      <w:t xml:space="preserve"> In Islamic Boarding School</w:t>
    </w:r>
  </w:p>
  <w:p w:rsidR="00983DE8" w:rsidRPr="005E6AEA" w:rsidRDefault="00983DE8" w:rsidP="00983DE8">
    <w:pPr>
      <w:pStyle w:val="Header"/>
      <w:rPr>
        <w:rFonts w:ascii="Arial" w:hAnsi="Arial" w:cs="Arial"/>
        <w:lang w:val="en-US"/>
      </w:rPr>
    </w:pPr>
    <w:r>
      <w:rPr>
        <w:rFonts w:ascii="Arial" w:hAnsi="Arial" w:cs="Arial"/>
        <w:noProof/>
        <w:lang w:val="en-US"/>
      </w:rPr>
      <mc:AlternateContent>
        <mc:Choice Requires="wps">
          <w:drawing>
            <wp:anchor distT="0" distB="0" distL="114300" distR="114300" simplePos="0" relativeHeight="251661312" behindDoc="0" locked="0" layoutInCell="1" allowOverlap="1" wp14:anchorId="0EC9BFDE" wp14:editId="6CD25CB2">
              <wp:simplePos x="0" y="0"/>
              <wp:positionH relativeFrom="column">
                <wp:posOffset>-13970</wp:posOffset>
              </wp:positionH>
              <wp:positionV relativeFrom="paragraph">
                <wp:posOffset>144145</wp:posOffset>
              </wp:positionV>
              <wp:extent cx="5629275" cy="0"/>
              <wp:effectExtent l="0" t="0" r="28575" b="19050"/>
              <wp:wrapNone/>
              <wp:docPr id="44" name="Straight Connector 44"/>
              <wp:cNvGraphicFramePr/>
              <a:graphic xmlns:a="http://schemas.openxmlformats.org/drawingml/2006/main">
                <a:graphicData uri="http://schemas.microsoft.com/office/word/2010/wordprocessingShape">
                  <wps:wsp>
                    <wps:cNvCnPr/>
                    <wps:spPr>
                      <a:xfrm flipV="1">
                        <a:off x="0" y="0"/>
                        <a:ext cx="5629275"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A8DE8" id="Straight Connector 4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35pt" to="442.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" strokecolor="black [3200]" strokeweight="1pt">
              <v:stroke joinstyle="miter"/>
            </v:line>
          </w:pict>
        </mc:Fallback>
      </mc:AlternateContent>
    </w:r>
  </w:p>
  <w:p w:rsidR="00983DE8" w:rsidRPr="00006F5B" w:rsidRDefault="00983DE8" w:rsidP="00006F5B">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A46C63"/>
    <w:multiLevelType w:val="hybridMultilevel"/>
    <w:tmpl w:val="AFF852BE"/>
    <w:lvl w:ilvl="0" w:tplc="45A07554">
      <w:start w:val="2"/>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610F5148"/>
    <w:multiLevelType w:val="hybridMultilevel"/>
    <w:tmpl w:val="64F813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F5B"/>
    <w:rsid w:val="00004B88"/>
    <w:rsid w:val="00006F5B"/>
    <w:rsid w:val="000D5CA8"/>
    <w:rsid w:val="000D6714"/>
    <w:rsid w:val="001053DA"/>
    <w:rsid w:val="0016189C"/>
    <w:rsid w:val="00202222"/>
    <w:rsid w:val="0025095A"/>
    <w:rsid w:val="00266743"/>
    <w:rsid w:val="002927AC"/>
    <w:rsid w:val="00394A15"/>
    <w:rsid w:val="003C0285"/>
    <w:rsid w:val="00461924"/>
    <w:rsid w:val="004658B9"/>
    <w:rsid w:val="004E43B0"/>
    <w:rsid w:val="00531830"/>
    <w:rsid w:val="0062705C"/>
    <w:rsid w:val="00696388"/>
    <w:rsid w:val="00725EDB"/>
    <w:rsid w:val="007B0619"/>
    <w:rsid w:val="007D0519"/>
    <w:rsid w:val="007E6EF6"/>
    <w:rsid w:val="00822119"/>
    <w:rsid w:val="00824953"/>
    <w:rsid w:val="00854106"/>
    <w:rsid w:val="008B2E5A"/>
    <w:rsid w:val="009002A3"/>
    <w:rsid w:val="00982F11"/>
    <w:rsid w:val="00983DE8"/>
    <w:rsid w:val="009E27D3"/>
    <w:rsid w:val="00A068CD"/>
    <w:rsid w:val="00A10707"/>
    <w:rsid w:val="00A72C2E"/>
    <w:rsid w:val="00B87BD0"/>
    <w:rsid w:val="00BF2336"/>
    <w:rsid w:val="00C430D4"/>
    <w:rsid w:val="00CC3D8F"/>
    <w:rsid w:val="00CC5AB2"/>
    <w:rsid w:val="00D25EA1"/>
    <w:rsid w:val="00D64236"/>
    <w:rsid w:val="00DB3D33"/>
    <w:rsid w:val="00DC71F1"/>
    <w:rsid w:val="00DF28F6"/>
    <w:rsid w:val="00E27B58"/>
    <w:rsid w:val="00E5462E"/>
    <w:rsid w:val="00EA49D0"/>
    <w:rsid w:val="00EE4939"/>
    <w:rsid w:val="00EE7858"/>
    <w:rsid w:val="00F027C6"/>
    <w:rsid w:val="00F23267"/>
    <w:rsid w:val="00F46173"/>
    <w:rsid w:val="00FE4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0ECFB"/>
  <w15:chartTrackingRefBased/>
  <w15:docId w15:val="{55196153-0C00-47A6-9BD2-CA92DA8D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F5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F5B"/>
  </w:style>
  <w:style w:type="paragraph" w:styleId="Footer">
    <w:name w:val="footer"/>
    <w:basedOn w:val="Normal"/>
    <w:link w:val="FooterChar"/>
    <w:uiPriority w:val="99"/>
    <w:unhideWhenUsed/>
    <w:rsid w:val="00006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F5B"/>
  </w:style>
  <w:style w:type="paragraph" w:customStyle="1" w:styleId="Judul">
    <w:name w:val="Judul"/>
    <w:basedOn w:val="Normal"/>
    <w:qFormat/>
    <w:rsid w:val="00006F5B"/>
    <w:pPr>
      <w:spacing w:after="0" w:line="240" w:lineRule="auto"/>
      <w:jc w:val="center"/>
    </w:pPr>
    <w:rPr>
      <w:rFonts w:ascii="Arial" w:eastAsia="Batang" w:hAnsi="Arial" w:cs="Arial"/>
      <w:b/>
      <w:sz w:val="28"/>
      <w:szCs w:val="28"/>
    </w:rPr>
  </w:style>
  <w:style w:type="paragraph" w:customStyle="1" w:styleId="Penulis">
    <w:name w:val="Penulis"/>
    <w:basedOn w:val="Normal"/>
    <w:qFormat/>
    <w:rsid w:val="00006F5B"/>
    <w:pPr>
      <w:spacing w:after="0" w:line="240" w:lineRule="auto"/>
      <w:jc w:val="center"/>
    </w:pPr>
    <w:rPr>
      <w:rFonts w:ascii="Arial" w:eastAsia="Batang" w:hAnsi="Arial" w:cs="Arial"/>
      <w:b/>
      <w:szCs w:val="28"/>
      <w:lang w:val="en-US"/>
    </w:rPr>
  </w:style>
  <w:style w:type="table" w:styleId="LightShading">
    <w:name w:val="Light Shading"/>
    <w:basedOn w:val="TableNormal"/>
    <w:uiPriority w:val="60"/>
    <w:rsid w:val="00983DE8"/>
    <w:pPr>
      <w:spacing w:after="0" w:line="240" w:lineRule="auto"/>
    </w:pPr>
    <w:rPr>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983DE8"/>
    <w:pPr>
      <w:ind w:left="720"/>
      <w:contextualSpacing/>
    </w:pPr>
  </w:style>
  <w:style w:type="paragraph" w:customStyle="1" w:styleId="TitleArticle">
    <w:name w:val="Title Article"/>
    <w:basedOn w:val="Judul"/>
    <w:qFormat/>
    <w:rsid w:val="009002A3"/>
  </w:style>
  <w:style w:type="paragraph" w:customStyle="1" w:styleId="Author">
    <w:name w:val="Author"/>
    <w:basedOn w:val="Penulis"/>
    <w:qFormat/>
    <w:rsid w:val="009002A3"/>
  </w:style>
  <w:style w:type="paragraph" w:customStyle="1" w:styleId="AuthorAffiliation">
    <w:name w:val="Author Affiliation"/>
    <w:basedOn w:val="Normal"/>
    <w:qFormat/>
    <w:rsid w:val="009002A3"/>
    <w:pPr>
      <w:spacing w:before="120" w:after="0" w:line="240" w:lineRule="auto"/>
      <w:jc w:val="center"/>
    </w:pPr>
    <w:rPr>
      <w:rFonts w:ascii="Arial" w:eastAsia="Batang" w:hAnsi="Arial" w:cs="Arial"/>
      <w:sz w:val="20"/>
      <w:szCs w:val="28"/>
      <w:lang w:val="en-US"/>
    </w:rPr>
  </w:style>
  <w:style w:type="paragraph" w:customStyle="1" w:styleId="AbstractHead">
    <w:name w:val="Abstract Head"/>
    <w:basedOn w:val="Normal"/>
    <w:qFormat/>
    <w:rsid w:val="009002A3"/>
    <w:pPr>
      <w:spacing w:before="120" w:after="240" w:line="240" w:lineRule="auto"/>
      <w:jc w:val="center"/>
    </w:pPr>
    <w:rPr>
      <w:rFonts w:ascii="Arial" w:eastAsia="Batang" w:hAnsi="Arial" w:cs="Arial"/>
      <w:b/>
      <w:sz w:val="20"/>
      <w:szCs w:val="20"/>
      <w:lang w:val="en-US"/>
    </w:rPr>
  </w:style>
  <w:style w:type="paragraph" w:customStyle="1" w:styleId="BodyAbstract">
    <w:name w:val="Body Abstract"/>
    <w:basedOn w:val="Normal"/>
    <w:qFormat/>
    <w:rsid w:val="009002A3"/>
    <w:pPr>
      <w:spacing w:line="276" w:lineRule="auto"/>
      <w:ind w:left="426" w:right="401"/>
      <w:jc w:val="both"/>
    </w:pPr>
    <w:rPr>
      <w:rFonts w:ascii="Arial" w:hAnsi="Arial" w:cs="Arial"/>
      <w:i/>
      <w:sz w:val="20"/>
      <w:szCs w:val="20"/>
    </w:rPr>
  </w:style>
  <w:style w:type="paragraph" w:customStyle="1" w:styleId="HeadBody">
    <w:name w:val="Head Body"/>
    <w:basedOn w:val="Normal"/>
    <w:qFormat/>
    <w:rsid w:val="009002A3"/>
    <w:pPr>
      <w:spacing w:after="0" w:line="360" w:lineRule="auto"/>
    </w:pPr>
    <w:rPr>
      <w:rFonts w:ascii="Arial" w:hAnsi="Arial" w:cs="Arial"/>
      <w:b/>
      <w:sz w:val="20"/>
      <w:szCs w:val="20"/>
    </w:rPr>
  </w:style>
  <w:style w:type="paragraph" w:customStyle="1" w:styleId="Body">
    <w:name w:val="Body"/>
    <w:basedOn w:val="Normal"/>
    <w:qFormat/>
    <w:rsid w:val="009002A3"/>
    <w:pPr>
      <w:spacing w:after="0" w:line="360" w:lineRule="auto"/>
      <w:ind w:firstLine="567"/>
      <w:jc w:val="both"/>
    </w:pPr>
    <w:rPr>
      <w:rFonts w:ascii="Arial" w:hAnsi="Arial" w:cs="Arial"/>
      <w:sz w:val="20"/>
      <w:szCs w:val="20"/>
    </w:rPr>
  </w:style>
  <w:style w:type="table" w:styleId="TableGrid">
    <w:name w:val="Table Grid"/>
    <w:basedOn w:val="TableNormal"/>
    <w:uiPriority w:val="59"/>
    <w:rsid w:val="00A10707"/>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1070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Summary of SRC measurement data on Subjects 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Sheet4!$C$3</c:f>
              <c:strCache>
                <c:ptCount val="1"/>
                <c:pt idx="0">
                  <c:v>Subject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Sheet4!$C$4:$C$14</c:f>
              <c:numCache>
                <c:formatCode>General</c:formatCode>
                <c:ptCount val="11"/>
                <c:pt idx="0">
                  <c:v>16</c:v>
                </c:pt>
                <c:pt idx="1">
                  <c:v>17</c:v>
                </c:pt>
                <c:pt idx="2">
                  <c:v>18</c:v>
                </c:pt>
                <c:pt idx="3">
                  <c:v>17</c:v>
                </c:pt>
                <c:pt idx="4">
                  <c:v>9</c:v>
                </c:pt>
                <c:pt idx="5">
                  <c:v>6</c:v>
                </c:pt>
                <c:pt idx="6">
                  <c:v>2</c:v>
                </c:pt>
                <c:pt idx="7">
                  <c:v>2</c:v>
                </c:pt>
                <c:pt idx="8">
                  <c:v>2</c:v>
                </c:pt>
                <c:pt idx="9">
                  <c:v>2</c:v>
                </c:pt>
                <c:pt idx="10">
                  <c:v>2</c:v>
                </c:pt>
              </c:numCache>
            </c:numRef>
          </c:val>
          <c:smooth val="0"/>
          <c:extLst>
            <c:ext xmlns:c16="http://schemas.microsoft.com/office/drawing/2014/chart" uri="{C3380CC4-5D6E-409C-BE32-E72D297353CC}">
              <c16:uniqueId val="{00000000-FEBA-46E4-A58B-68A8742197BA}"/>
            </c:ext>
          </c:extLst>
        </c:ser>
        <c:ser>
          <c:idx val="1"/>
          <c:order val="1"/>
          <c:tx>
            <c:strRef>
              <c:f>Sheet4!$E$3</c:f>
              <c:strCache>
                <c:ptCount val="1"/>
                <c:pt idx="0">
                  <c:v>Subject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Sheet4!$E$4:$E$14</c:f>
              <c:numCache>
                <c:formatCode>General</c:formatCode>
                <c:ptCount val="11"/>
                <c:pt idx="0">
                  <c:v>16</c:v>
                </c:pt>
                <c:pt idx="1">
                  <c:v>16</c:v>
                </c:pt>
                <c:pt idx="2">
                  <c:v>17</c:v>
                </c:pt>
                <c:pt idx="3">
                  <c:v>16</c:v>
                </c:pt>
                <c:pt idx="4">
                  <c:v>9</c:v>
                </c:pt>
                <c:pt idx="5">
                  <c:v>6</c:v>
                </c:pt>
                <c:pt idx="6">
                  <c:v>4</c:v>
                </c:pt>
                <c:pt idx="7">
                  <c:v>2</c:v>
                </c:pt>
                <c:pt idx="8">
                  <c:v>3</c:v>
                </c:pt>
                <c:pt idx="9">
                  <c:v>2</c:v>
                </c:pt>
                <c:pt idx="10">
                  <c:v>2</c:v>
                </c:pt>
              </c:numCache>
            </c:numRef>
          </c:val>
          <c:smooth val="0"/>
          <c:extLst>
            <c:ext xmlns:c16="http://schemas.microsoft.com/office/drawing/2014/chart" uri="{C3380CC4-5D6E-409C-BE32-E72D297353CC}">
              <c16:uniqueId val="{00000001-FEBA-46E4-A58B-68A8742197BA}"/>
            </c:ext>
          </c:extLst>
        </c:ser>
        <c:ser>
          <c:idx val="2"/>
          <c:order val="2"/>
          <c:tx>
            <c:strRef>
              <c:f>Sheet4!$G$3</c:f>
              <c:strCache>
                <c:ptCount val="1"/>
                <c:pt idx="0">
                  <c:v>Subject 3</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Sheet4!$G$4:$G$14</c:f>
              <c:numCache>
                <c:formatCode>General</c:formatCode>
                <c:ptCount val="11"/>
                <c:pt idx="0">
                  <c:v>14</c:v>
                </c:pt>
                <c:pt idx="1">
                  <c:v>15</c:v>
                </c:pt>
                <c:pt idx="2">
                  <c:v>15</c:v>
                </c:pt>
                <c:pt idx="3">
                  <c:v>15</c:v>
                </c:pt>
                <c:pt idx="4">
                  <c:v>12</c:v>
                </c:pt>
                <c:pt idx="5">
                  <c:v>7</c:v>
                </c:pt>
                <c:pt idx="6">
                  <c:v>3</c:v>
                </c:pt>
                <c:pt idx="7">
                  <c:v>3</c:v>
                </c:pt>
                <c:pt idx="8">
                  <c:v>3</c:v>
                </c:pt>
                <c:pt idx="9">
                  <c:v>3</c:v>
                </c:pt>
                <c:pt idx="10">
                  <c:v>3</c:v>
                </c:pt>
              </c:numCache>
            </c:numRef>
          </c:val>
          <c:smooth val="0"/>
          <c:extLst>
            <c:ext xmlns:c16="http://schemas.microsoft.com/office/drawing/2014/chart" uri="{C3380CC4-5D6E-409C-BE32-E72D297353CC}">
              <c16:uniqueId val="{00000002-FEBA-46E4-A58B-68A8742197BA}"/>
            </c:ext>
          </c:extLst>
        </c:ser>
        <c:ser>
          <c:idx val="3"/>
          <c:order val="3"/>
          <c:tx>
            <c:strRef>
              <c:f>Sheet4!$I$3</c:f>
              <c:strCache>
                <c:ptCount val="1"/>
                <c:pt idx="0">
                  <c:v>subject 4</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Sheet4!$I$4:$I$14</c:f>
              <c:numCache>
                <c:formatCode>General</c:formatCode>
                <c:ptCount val="11"/>
                <c:pt idx="0">
                  <c:v>15</c:v>
                </c:pt>
                <c:pt idx="1">
                  <c:v>15</c:v>
                </c:pt>
                <c:pt idx="2">
                  <c:v>15</c:v>
                </c:pt>
                <c:pt idx="3">
                  <c:v>15</c:v>
                </c:pt>
                <c:pt idx="4">
                  <c:v>7</c:v>
                </c:pt>
                <c:pt idx="5">
                  <c:v>3</c:v>
                </c:pt>
                <c:pt idx="6">
                  <c:v>2</c:v>
                </c:pt>
                <c:pt idx="7">
                  <c:v>2</c:v>
                </c:pt>
                <c:pt idx="8">
                  <c:v>2</c:v>
                </c:pt>
                <c:pt idx="9">
                  <c:v>2</c:v>
                </c:pt>
                <c:pt idx="10">
                  <c:v>2</c:v>
                </c:pt>
              </c:numCache>
            </c:numRef>
          </c:val>
          <c:smooth val="0"/>
          <c:extLst>
            <c:ext xmlns:c16="http://schemas.microsoft.com/office/drawing/2014/chart" uri="{C3380CC4-5D6E-409C-BE32-E72D297353CC}">
              <c16:uniqueId val="{00000003-FEBA-46E4-A58B-68A8742197BA}"/>
            </c:ext>
          </c:extLst>
        </c:ser>
        <c:ser>
          <c:idx val="4"/>
          <c:order val="4"/>
          <c:tx>
            <c:strRef>
              <c:f>Sheet4!$K$3</c:f>
              <c:strCache>
                <c:ptCount val="1"/>
                <c:pt idx="0">
                  <c:v>subject 5</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Sheet4!$K$4:$K$14</c:f>
              <c:numCache>
                <c:formatCode>General</c:formatCode>
                <c:ptCount val="11"/>
                <c:pt idx="0">
                  <c:v>15</c:v>
                </c:pt>
                <c:pt idx="1">
                  <c:v>15</c:v>
                </c:pt>
                <c:pt idx="2">
                  <c:v>16</c:v>
                </c:pt>
                <c:pt idx="3">
                  <c:v>14</c:v>
                </c:pt>
                <c:pt idx="4">
                  <c:v>9</c:v>
                </c:pt>
                <c:pt idx="5">
                  <c:v>8</c:v>
                </c:pt>
                <c:pt idx="6">
                  <c:v>6</c:v>
                </c:pt>
                <c:pt idx="7">
                  <c:v>6</c:v>
                </c:pt>
                <c:pt idx="8">
                  <c:v>6</c:v>
                </c:pt>
                <c:pt idx="9">
                  <c:v>6</c:v>
                </c:pt>
                <c:pt idx="10">
                  <c:v>6</c:v>
                </c:pt>
              </c:numCache>
            </c:numRef>
          </c:val>
          <c:smooth val="0"/>
          <c:extLst>
            <c:ext xmlns:c16="http://schemas.microsoft.com/office/drawing/2014/chart" uri="{C3380CC4-5D6E-409C-BE32-E72D297353CC}">
              <c16:uniqueId val="{00000004-FEBA-46E4-A58B-68A8742197BA}"/>
            </c:ext>
          </c:extLst>
        </c:ser>
        <c:dLbls>
          <c:dLblPos val="t"/>
          <c:showLegendKey val="0"/>
          <c:showVal val="1"/>
          <c:showCatName val="0"/>
          <c:showSerName val="0"/>
          <c:showPercent val="0"/>
          <c:showBubbleSize val="0"/>
        </c:dLbls>
        <c:smooth val="0"/>
        <c:axId val="960536768"/>
        <c:axId val="960549824"/>
      </c:lineChart>
      <c:catAx>
        <c:axId val="960536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CONDITION</a:t>
                </a:r>
                <a:endParaRPr lang="id-ID"/>
              </a:p>
            </c:rich>
          </c:tx>
          <c:layout>
            <c:manualLayout>
              <c:xMode val="edge"/>
              <c:yMode val="edge"/>
              <c:x val="0.48576994234982857"/>
              <c:y val="0.896421403613740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549824"/>
        <c:crosses val="autoZero"/>
        <c:auto val="1"/>
        <c:lblAlgn val="ctr"/>
        <c:lblOffset val="100"/>
        <c:noMultiLvlLbl val="0"/>
      </c:catAx>
      <c:valAx>
        <c:axId val="960549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a:t>
                </a:r>
                <a:r>
                  <a:rPr lang="en-US"/>
                  <a:t>C</a:t>
                </a:r>
                <a:r>
                  <a:rPr lang="id-ID"/>
                  <a:t>OR</a:t>
                </a:r>
                <a:r>
                  <a:rPr lang="en-US"/>
                  <a:t>E</a:t>
                </a:r>
                <a:r>
                  <a:rPr lang="id-ID" baseline="0"/>
                  <a:t> </a:t>
                </a:r>
                <a:r>
                  <a:rPr lang="en-US" baseline="0"/>
                  <a:t>SRC</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536768"/>
        <c:crosses val="autoZero"/>
        <c:crossBetween val="between"/>
      </c:valAx>
      <c:spPr>
        <a:noFill/>
        <a:ln>
          <a:noFill/>
        </a:ln>
        <a:effectLst/>
      </c:spPr>
    </c:plotArea>
    <c:legend>
      <c:legendPos val="b"/>
      <c:layout>
        <c:manualLayout>
          <c:xMode val="edge"/>
          <c:yMode val="edge"/>
          <c:x val="0.79116414828659654"/>
          <c:y val="0.14837654699285791"/>
          <c:w val="0.20556248381943437"/>
          <c:h val="0.36471825197431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0.11672</cdr:x>
      <cdr:y>0.65669</cdr:y>
    </cdr:from>
    <cdr:to>
      <cdr:x>0.28998</cdr:x>
      <cdr:y>0.73713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47804" y="1923623"/>
          <a:ext cx="961576" cy="235629"/>
        </a:xfrm>
        <a:prstGeom xmlns:a="http://schemas.openxmlformats.org/drawingml/2006/main" prst="rect">
          <a:avLst/>
        </a:prstGeom>
      </cdr:spPr>
    </cdr:pic>
  </cdr:relSizeAnchor>
  <cdr:relSizeAnchor xmlns:cdr="http://schemas.openxmlformats.org/drawingml/2006/chartDrawing">
    <cdr:from>
      <cdr:x>0.33071</cdr:x>
      <cdr:y>0.13877</cdr:y>
    </cdr:from>
    <cdr:to>
      <cdr:x>0.33161</cdr:x>
      <cdr:y>0.75595</cdr:y>
    </cdr:to>
    <cdr:cxnSp macro="">
      <cdr:nvCxnSpPr>
        <cdr:cNvPr id="3" name="Straight Connector 2"/>
        <cdr:cNvCxnSpPr/>
      </cdr:nvCxnSpPr>
      <cdr:spPr>
        <a:xfrm xmlns:a="http://schemas.openxmlformats.org/drawingml/2006/main" flipH="1">
          <a:off x="2094955" y="477794"/>
          <a:ext cx="5694" cy="2124916"/>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0.73926</cdr:x>
      <cdr:y>0.13199</cdr:y>
    </cdr:from>
    <cdr:to>
      <cdr:x>0.74015</cdr:x>
      <cdr:y>0.74917</cdr:y>
    </cdr:to>
    <cdr:cxnSp macro="">
      <cdr:nvCxnSpPr>
        <cdr:cNvPr id="5" name="Straight Connector 4"/>
        <cdr:cNvCxnSpPr/>
      </cdr:nvCxnSpPr>
      <cdr:spPr>
        <a:xfrm xmlns:a="http://schemas.openxmlformats.org/drawingml/2006/main" flipH="1">
          <a:off x="4683009" y="454454"/>
          <a:ext cx="5694" cy="2124916"/>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0.42317</cdr:x>
      <cdr:y>0.65777</cdr:y>
    </cdr:from>
    <cdr:to>
      <cdr:x>0.6397</cdr:x>
      <cdr:y>0.75162</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348532" y="1926783"/>
          <a:ext cx="1201719" cy="274911"/>
        </a:xfrm>
        <a:prstGeom xmlns:a="http://schemas.openxmlformats.org/drawingml/2006/main" prst="rect">
          <a:avLst/>
        </a:prstGeom>
      </cdr:spPr>
    </cdr:pic>
  </cdr:relSizeAnchor>
  <cdr:relSizeAnchor xmlns:cdr="http://schemas.openxmlformats.org/drawingml/2006/chartDrawing">
    <cdr:from>
      <cdr:x>0.7714</cdr:x>
      <cdr:y>0.66534</cdr:y>
    </cdr:from>
    <cdr:to>
      <cdr:x>0.93789</cdr:x>
      <cdr:y>0.75742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4281177" y="1948938"/>
          <a:ext cx="924002" cy="269726"/>
        </a:xfrm>
        <a:prstGeom xmlns:a="http://schemas.openxmlformats.org/drawingml/2006/main" prst="rect">
          <a:avLst/>
        </a:prstGeom>
      </cdr:spPr>
    </cdr:pic>
  </cdr:relSizeAnchor>
  <cdr:relSizeAnchor xmlns:cdr="http://schemas.openxmlformats.org/drawingml/2006/chartDrawing">
    <cdr:from>
      <cdr:x>0.10793</cdr:x>
      <cdr:y>0.78001</cdr:y>
    </cdr:from>
    <cdr:to>
      <cdr:x>0.29753</cdr:x>
      <cdr:y>0.8526</cdr:y>
    </cdr:to>
    <cdr:pic>
      <cdr:nvPicPr>
        <cdr:cNvPr id="10"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683740" y="2685535"/>
          <a:ext cx="1201016" cy="249958"/>
        </a:xfrm>
        <a:prstGeom xmlns:a="http://schemas.openxmlformats.org/drawingml/2006/main" prst="rect">
          <a:avLst/>
        </a:prstGeom>
      </cdr:spPr>
    </cdr:pic>
  </cdr:relSizeAnchor>
  <cdr:relSizeAnchor xmlns:cdr="http://schemas.openxmlformats.org/drawingml/2006/chartDrawing">
    <cdr:from>
      <cdr:x>0.34981</cdr:x>
      <cdr:y>0.76565</cdr:y>
    </cdr:from>
    <cdr:to>
      <cdr:x>0.73344</cdr:x>
      <cdr:y>0.8294</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a:off x="2215979" y="2636108"/>
          <a:ext cx="2430162" cy="219475"/>
        </a:xfrm>
        <a:prstGeom xmlns:a="http://schemas.openxmlformats.org/drawingml/2006/main" prst="rect">
          <a:avLst/>
        </a:prstGeom>
      </cdr:spPr>
    </cdr:pic>
  </cdr:relSizeAnchor>
  <cdr:relSizeAnchor xmlns:cdr="http://schemas.openxmlformats.org/drawingml/2006/chartDrawing">
    <cdr:from>
      <cdr:x>0.73474</cdr:x>
      <cdr:y>0.77522</cdr:y>
    </cdr:from>
    <cdr:to>
      <cdr:x>0.98111</cdr:x>
      <cdr:y>0.8673</cdr:y>
    </cdr:to>
    <cdr:pic>
      <cdr:nvPicPr>
        <cdr:cNvPr id="13" name="chart"/>
        <cdr:cNvPicPr>
          <a:picLocks xmlns:a="http://schemas.openxmlformats.org/drawingml/2006/main" noChangeAspect="1"/>
        </cdr:cNvPicPr>
      </cdr:nvPicPr>
      <cdr:blipFill>
        <a:blip xmlns:a="http://schemas.openxmlformats.org/drawingml/2006/main" xmlns:r="http://schemas.openxmlformats.org/officeDocument/2006/relationships" r:embed="rId6"/>
        <a:stretch xmlns:a="http://schemas.openxmlformats.org/drawingml/2006/main">
          <a:fillRect/>
        </a:stretch>
      </cdr:blipFill>
      <cdr:spPr>
        <a:xfrm xmlns:a="http://schemas.openxmlformats.org/drawingml/2006/main">
          <a:off x="4654378" y="2669060"/>
          <a:ext cx="1560711" cy="31701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B8CFF-E4E0-426B-A4AA-2260B614B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10</Pages>
  <Words>10172</Words>
  <Characters>57981</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Commented:</cp:lastModifiedBy>
  <cp:revision>31</cp:revision>
  <dcterms:created xsi:type="dcterms:W3CDTF">2022-08-14T03:52:00Z</dcterms:created>
  <dcterms:modified xsi:type="dcterms:W3CDTF">2022-08-14T12:23:00Z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11th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65a1abea-4d40-368c-a04a-7d5f9117fcc2</vt:lpwstr>
  </property>
  <property fmtid="{D5CDD505-2E9C-101B-9397-08002B2CF9AE}" pid="24" name="Mendeley Citation Style_1">
    <vt:lpwstr>http://www.zotero.org/styles/apa</vt:lpwstr>
  </property>
</Properties>
</file>